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558" w:rsidRDefault="009D71E8" w14:paraId="2A7D54B1" w14:textId="74325A5F">
      <w:pPr>
        <w:pStyle w:val="Heading1"/>
      </w:pPr>
      <w:bookmarkStart w:name="_Toc400361362" w:id="0"/>
      <w:bookmarkStart w:name="_Toc443397153" w:id="1"/>
      <w:bookmarkStart w:name="_Toc357771638" w:id="2"/>
      <w:bookmarkStart w:name="_Toc346793416" w:id="3"/>
      <w:bookmarkStart w:name="_Toc328122777" w:id="4"/>
      <w:r>
        <w:t xml:space="preserve">Pupil premium </w:t>
      </w:r>
      <w:r w:rsidR="00FE0CB0">
        <w:t>st</w:t>
      </w:r>
      <w:r>
        <w:t>rategy statement</w:t>
      </w:r>
      <w:bookmarkStart w:name="_Toc338167830" w:id="5"/>
      <w:bookmarkStart w:name="_Toc361136403" w:id="6"/>
      <w:bookmarkStart w:name="_Toc364235708" w:id="7"/>
      <w:bookmarkStart w:name="_Toc364235752" w:id="8"/>
      <w:bookmarkStart w:name="_Toc364235834" w:id="9"/>
      <w:bookmarkStart w:name="_Toc364840099" w:id="10"/>
      <w:bookmarkStart w:name="_Toc364864309" w:id="11"/>
      <w:bookmarkStart w:name="_Toc400361364" w:id="12"/>
      <w:bookmarkStart w:name="_Toc443397154" w:id="13"/>
      <w:bookmarkEnd w:id="0"/>
      <w:bookmarkEnd w:id="1"/>
      <w:r w:rsidR="00226317">
        <w:t xml:space="preserve"> – </w:t>
      </w:r>
      <w:r w:rsidR="00FE0CB0">
        <w:t>St Gregory’s Catholic Primary School 2023-2024</w:t>
      </w:r>
    </w:p>
    <w:p w:rsidR="00E66558" w:rsidP="00C62989" w:rsidRDefault="009D71E8" w14:paraId="16B48015" w14:textId="10C880C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:rsidR="00E66558" w:rsidP="00C62989" w:rsidRDefault="009D71E8" w14:paraId="2A7D54B3" w14:textId="730F2E71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:rsidR="00E66558" w:rsidRDefault="009D71E8" w14:paraId="2A7D54B4" w14:textId="2CAB096C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:rsidTr="00CA4421" w14:paraId="2A7D54B7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B5" w14:textId="77777777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51A59785" w14:textId="77777777">
            <w:pPr>
              <w:pStyle w:val="TableHeader"/>
              <w:jc w:val="left"/>
            </w:pPr>
            <w:r>
              <w:t>Data</w:t>
            </w:r>
          </w:p>
        </w:tc>
      </w:tr>
      <w:tr w:rsidR="002940F3" w:rsidTr="002940F3" w14:paraId="2A7D54BA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2940F3" w14:paraId="2A7D54B8" w14:textId="7E4C52DD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FE0CB0" w14:paraId="2A7D54B9" w14:textId="2B204D8C">
            <w:pPr>
              <w:pStyle w:val="TableRow"/>
            </w:pPr>
            <w:r>
              <w:t>258</w:t>
            </w:r>
          </w:p>
        </w:tc>
      </w:tr>
      <w:tr w:rsidR="002940F3" w:rsidTr="002940F3" w14:paraId="2A7D54BD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2940F3" w14:paraId="2A7D54BB" w14:textId="04774D67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FE0CB0" w14:paraId="2A7D54BC" w14:textId="4766F6A1">
            <w:pPr>
              <w:pStyle w:val="TableRow"/>
            </w:pPr>
            <w:r>
              <w:t>16%</w:t>
            </w:r>
          </w:p>
        </w:tc>
      </w:tr>
      <w:tr w:rsidR="002940F3" w:rsidTr="002940F3" w14:paraId="2A7D54C0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2940F3" w14:paraId="2A7D54BE" w14:textId="34215C6A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</w:t>
            </w:r>
            <w:r w:rsidRPr="004B4D0A">
              <w:rPr>
                <w:b/>
              </w:rPr>
              <w:t>3 year</w:t>
            </w:r>
            <w:r w:rsidRPr="1CBF4D92">
              <w:rPr>
                <w:b/>
              </w:rPr>
              <w:t xml:space="preserve"> plans are recommended</w:t>
            </w:r>
            <w:r w:rsidR="00D5360D">
              <w:rPr>
                <w:b/>
              </w:rPr>
              <w:t xml:space="preserve"> </w:t>
            </w:r>
            <w:r w:rsidR="00560424">
              <w:rPr>
                <w:b/>
              </w:rPr>
              <w:t>– you must still publish an updated statement each academic year</w:t>
            </w:r>
            <w:r w:rsidRPr="1CBF4D92">
              <w:rPr>
                <w:b/>
              </w:rPr>
              <w:t>)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FE0CB0" w14:paraId="2A7D54BF" w14:textId="4E92D213">
            <w:pPr>
              <w:pStyle w:val="TableRow"/>
            </w:pPr>
            <w:r>
              <w:t>2023-2026</w:t>
            </w:r>
          </w:p>
        </w:tc>
      </w:tr>
      <w:tr w:rsidR="002940F3" w:rsidTr="002940F3" w14:paraId="2A7D54C3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2940F3" w14:paraId="2A7D54C1" w14:textId="0F472705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FE0CB0" w14:paraId="2A7D54C2" w14:textId="44229255">
            <w:pPr>
              <w:pStyle w:val="TableRow"/>
            </w:pPr>
            <w:r>
              <w:t>30/11/23</w:t>
            </w:r>
          </w:p>
        </w:tc>
      </w:tr>
      <w:tr w:rsidR="002940F3" w:rsidTr="002940F3" w14:paraId="2A7D54C6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2940F3" w14:paraId="2A7D54C4" w14:textId="0C766347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FE0CB0" w14:paraId="2A7D54C5" w14:textId="6404804C">
            <w:pPr>
              <w:pStyle w:val="TableRow"/>
            </w:pPr>
            <w:r>
              <w:t>30/11/24</w:t>
            </w:r>
          </w:p>
        </w:tc>
      </w:tr>
      <w:tr w:rsidR="002940F3" w:rsidTr="002940F3" w14:paraId="2A7D54C9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2940F3" w14:paraId="2A7D54C7" w14:textId="7605248E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FE0CB0" w14:paraId="2A7D54C8" w14:textId="6ECD223E">
            <w:pPr>
              <w:pStyle w:val="TableRow"/>
            </w:pPr>
            <w:r>
              <w:t xml:space="preserve">M Paine </w:t>
            </w:r>
          </w:p>
        </w:tc>
      </w:tr>
      <w:tr w:rsidR="002940F3" w:rsidTr="002940F3" w14:paraId="2A7D54CC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2940F3" w14:paraId="2A7D54CA" w14:textId="5DC091D2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FE0CB0" w14:paraId="2A7D54CB" w14:textId="48B25D9C">
            <w:pPr>
              <w:pStyle w:val="TableRow"/>
            </w:pPr>
            <w:r>
              <w:t xml:space="preserve">M Paine </w:t>
            </w:r>
          </w:p>
        </w:tc>
      </w:tr>
      <w:tr w:rsidR="002940F3" w:rsidTr="002940F3" w14:paraId="2A7D54CF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2940F3" w14:paraId="2A7D54CD" w14:textId="08FA5419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F3" w:rsidRDefault="00FE0CB0" w14:paraId="2A7D54CE" w14:textId="1FAC1B17">
            <w:pPr>
              <w:pStyle w:val="TableRow"/>
            </w:pPr>
            <w:r>
              <w:t xml:space="preserve">C Lewis </w:t>
            </w:r>
          </w:p>
        </w:tc>
      </w:tr>
    </w:tbl>
    <w:bookmarkEnd w:id="2"/>
    <w:bookmarkEnd w:id="3"/>
    <w:bookmarkEnd w:id="4"/>
    <w:p w:rsidRPr="005464A1" w:rsidR="00E66558" w:rsidP="005464A1" w:rsidRDefault="009D71E8" w14:paraId="2A7D54D3" w14:textId="77777777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:rsidTr="5970D44B" w14:paraId="2A7D54D6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2A7D54D4" w14:textId="77777777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2A7D54D5" w14:textId="77777777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:rsidTr="5970D44B" w14:paraId="2A7D54D9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2A7D54D7" w14:textId="77777777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D8" w14:textId="21487060">
            <w:pPr>
              <w:pStyle w:val="TableRow"/>
            </w:pPr>
            <w:r w:rsidR="009D71E8">
              <w:rPr/>
              <w:t>£</w:t>
            </w:r>
            <w:r w:rsidR="48496AD5">
              <w:rPr/>
              <w:t>74,900</w:t>
            </w:r>
          </w:p>
        </w:tc>
      </w:tr>
      <w:tr w:rsidR="00E66558" w:rsidTr="5970D44B" w14:paraId="2A7D54DC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321C9B95" w14:textId="77777777">
            <w:pPr>
              <w:pStyle w:val="TableRow"/>
            </w:pPr>
            <w:r>
              <w:t>Recovery premium funding allocation this academic year</w:t>
            </w:r>
          </w:p>
          <w:p w:rsidRPr="005F16B6" w:rsidR="00CA5363" w:rsidP="00CA5363" w:rsidRDefault="00CA5363" w14:paraId="2A7D54DA" w14:textId="7E741F29">
            <w:pPr>
              <w:pStyle w:val="TableRow"/>
              <w:rPr>
                <w:i/>
                <w:iCs/>
              </w:rPr>
            </w:pPr>
            <w:r w:rsidRPr="005F16B6">
              <w:rPr>
                <w:i/>
                <w:iCs/>
              </w:rPr>
              <w:t>Recovery premium received in academic year 2023</w:t>
            </w:r>
            <w:r w:rsidRPr="005F16B6" w:rsidR="00762652">
              <w:rPr>
                <w:i/>
                <w:iCs/>
              </w:rPr>
              <w:t>/</w:t>
            </w:r>
            <w:r w:rsidRPr="005F16B6">
              <w:rPr>
                <w:i/>
                <w:iCs/>
              </w:rPr>
              <w:t>24 cannot be carried forward beyond August 31</w:t>
            </w:r>
            <w:r w:rsidR="00257A4E">
              <w:rPr>
                <w:i/>
                <w:iCs/>
              </w:rPr>
              <w:t>,</w:t>
            </w:r>
            <w:r w:rsidRPr="005F16B6">
              <w:rPr>
                <w:i/>
                <w:iCs/>
              </w:rPr>
              <w:t xml:space="preserve"> 2024.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DB" w14:textId="6E8459D2">
            <w:pPr>
              <w:pStyle w:val="TableRow"/>
            </w:pPr>
            <w:r w:rsidR="009D71E8">
              <w:rPr/>
              <w:t>£</w:t>
            </w:r>
            <w:r w:rsidR="2B578087">
              <w:rPr/>
              <w:t>0</w:t>
            </w:r>
          </w:p>
        </w:tc>
      </w:tr>
      <w:tr w:rsidR="00E66558" w:rsidTr="5970D44B" w14:paraId="2A7D54DF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F16B6" w:rsidR="007109F6" w:rsidP="005F16B6" w:rsidRDefault="009D71E8" w14:paraId="2A7D54DD" w14:textId="74690F68">
            <w:pPr>
              <w:pStyle w:val="TableRow"/>
              <w:spacing w:after="120"/>
            </w:pPr>
            <w:r>
              <w:t>Pupil premium</w:t>
            </w:r>
            <w:r w:rsidR="005F16B6">
              <w:t xml:space="preserve">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DE" w14:textId="1C0AFD9A">
            <w:pPr>
              <w:pStyle w:val="TableRow"/>
            </w:pPr>
            <w:r w:rsidR="009D71E8">
              <w:rPr/>
              <w:t>£</w:t>
            </w:r>
            <w:r w:rsidR="126520D0">
              <w:rPr/>
              <w:t>0</w:t>
            </w:r>
          </w:p>
        </w:tc>
      </w:tr>
      <w:tr w:rsidR="00E66558" w:rsidTr="5970D44B" w14:paraId="2A7D54E3" w14:textId="77777777"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009C0914" w:rsidRDefault="009D71E8" w14:paraId="2A7D54E0" w14:textId="77777777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:rsidRPr="003C4388" w:rsidR="00E66558" w:rsidRDefault="009D71E8" w14:paraId="2A7D54E1" w14:textId="77777777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E2" w14:textId="3569C65D">
            <w:pPr>
              <w:pStyle w:val="TableRow"/>
            </w:pPr>
            <w:r w:rsidR="009D71E8">
              <w:rPr/>
              <w:t>£</w:t>
            </w:r>
            <w:r w:rsidR="6511E656">
              <w:rPr/>
              <w:t>74,900</w:t>
            </w:r>
          </w:p>
        </w:tc>
      </w:tr>
    </w:tbl>
    <w:p w:rsidR="00E66558" w:rsidRDefault="009D71E8" w14:paraId="2A7D54E4" w14:textId="77777777">
      <w:pPr>
        <w:pStyle w:val="Heading1"/>
      </w:pPr>
      <w:r>
        <w:lastRenderedPageBreak/>
        <w:t>Part A: Pupil premium strategy plan</w:t>
      </w:r>
    </w:p>
    <w:p w:rsidR="00E66558" w:rsidRDefault="009D71E8" w14:paraId="2A7D54E5" w14:textId="77777777">
      <w:pPr>
        <w:pStyle w:val="Heading2"/>
      </w:pPr>
      <w:bookmarkStart w:name="_Toc357771640" w:id="14"/>
      <w:bookmarkStart w:name="_Toc346793418" w:id="15"/>
      <w:r w:rsidR="009D71E8">
        <w:rPr/>
        <w:t>Statement of intent</w:t>
      </w:r>
    </w:p>
    <w:p w:rsidR="1680693F" w:rsidP="5970D44B" w:rsidRDefault="1680693F" w14:paraId="52D2DDEF" w14:textId="775D0BEC">
      <w:pPr>
        <w:pStyle w:val="Normal"/>
        <w:jc w:val="both"/>
      </w:pPr>
      <w:r w:rsidR="1680693F">
        <w:rPr/>
        <w:t xml:space="preserve">At St Gregory’s, we believe that every child is a unique and </w:t>
      </w:r>
      <w:r w:rsidR="55254E70">
        <w:rPr/>
        <w:t>precious creation of God. We want to ensure that all our pupi</w:t>
      </w:r>
      <w:r w:rsidR="78FF0A7C">
        <w:rPr/>
        <w:t xml:space="preserve">ls have the same teaching and learning </w:t>
      </w:r>
      <w:r w:rsidR="4C08826F">
        <w:rPr/>
        <w:t>opportunities. Our use of Pupil Premium is foc</w:t>
      </w:r>
      <w:r w:rsidR="0AAD67A1">
        <w:rPr/>
        <w:t xml:space="preserve">used on ensuring that equality of opportunity, </w:t>
      </w:r>
      <w:r w:rsidR="3D09522C">
        <w:rPr/>
        <w:t>both academically and in the development of our pupils’ cultural capital</w:t>
      </w:r>
      <w:r w:rsidR="6749A49C">
        <w:rPr/>
        <w:t xml:space="preserve">. </w:t>
      </w:r>
    </w:p>
    <w:p w:rsidR="6749A49C" w:rsidP="5970D44B" w:rsidRDefault="6749A49C" w14:paraId="24E8D6A1" w14:textId="51C7B928">
      <w:pPr>
        <w:pStyle w:val="Normal"/>
        <w:jc w:val="both"/>
      </w:pPr>
      <w:r w:rsidR="6749A49C">
        <w:rPr/>
        <w:t xml:space="preserve">All our pupils are entitled to develop their full potential, regardless of need. We ensure that funding is </w:t>
      </w:r>
      <w:r w:rsidR="7EDA6602">
        <w:rPr/>
        <w:t>directed to</w:t>
      </w:r>
      <w:r w:rsidR="584A7459">
        <w:rPr/>
        <w:t xml:space="preserve"> our</w:t>
      </w:r>
      <w:r w:rsidR="7EDA6602">
        <w:rPr/>
        <w:t xml:space="preserve"> vulnerable pupil groups</w:t>
      </w:r>
      <w:r w:rsidR="7DC7B041">
        <w:rPr/>
        <w:t xml:space="preserve"> to achieve this. </w:t>
      </w:r>
      <w:r w:rsidR="042E46A6">
        <w:rPr/>
        <w:t xml:space="preserve">Funding is </w:t>
      </w:r>
      <w:r w:rsidR="77D8DBA8">
        <w:rPr/>
        <w:t>allocated</w:t>
      </w:r>
      <w:r w:rsidR="77D8DBA8">
        <w:rPr/>
        <w:t xml:space="preserve"> based on a needs analysis of groups and ind</w:t>
      </w:r>
      <w:r w:rsidR="30172A76">
        <w:rPr/>
        <w:t xml:space="preserve">ividuals. </w:t>
      </w:r>
    </w:p>
    <w:p w:rsidR="30172A76" w:rsidP="5970D44B" w:rsidRDefault="30172A76" w14:paraId="39217F0F" w14:textId="4E30ADE8">
      <w:pPr>
        <w:pStyle w:val="Normal"/>
        <w:jc w:val="both"/>
      </w:pPr>
      <w:r w:rsidR="30172A76">
        <w:rPr/>
        <w:t>The key principles of this strategy are:</w:t>
      </w:r>
    </w:p>
    <w:p w:rsidR="30172A76" w:rsidP="5970D44B" w:rsidRDefault="30172A76" w14:paraId="41115D62" w14:textId="12BDEA09">
      <w:pPr>
        <w:pStyle w:val="ListParagraph"/>
        <w:numPr>
          <w:ilvl w:val="0"/>
          <w:numId w:val="16"/>
        </w:numPr>
        <w:jc w:val="both"/>
        <w:rPr>
          <w:color w:val="0D0D0D" w:themeColor="text1" w:themeTint="F2" w:themeShade="FF"/>
          <w:sz w:val="24"/>
          <w:szCs w:val="24"/>
        </w:rPr>
      </w:pPr>
      <w:r w:rsidRPr="5970D44B" w:rsidR="30172A76">
        <w:rPr>
          <w:color w:val="0D0D0D" w:themeColor="text1" w:themeTint="F2" w:themeShade="FF"/>
          <w:sz w:val="24"/>
          <w:szCs w:val="24"/>
        </w:rPr>
        <w:t>To close the gap between PP and Non-PP pupils in Reading, Writing and Maths</w:t>
      </w:r>
      <w:r w:rsidRPr="5970D44B" w:rsidR="48A21706">
        <w:rPr>
          <w:color w:val="0D0D0D" w:themeColor="text1" w:themeTint="F2" w:themeShade="FF"/>
          <w:sz w:val="24"/>
          <w:szCs w:val="24"/>
        </w:rPr>
        <w:t>.</w:t>
      </w:r>
    </w:p>
    <w:p w:rsidR="30172A76" w:rsidP="5970D44B" w:rsidRDefault="30172A76" w14:paraId="594DB2E1" w14:textId="72163B27">
      <w:pPr>
        <w:pStyle w:val="ListParagraph"/>
        <w:numPr>
          <w:ilvl w:val="0"/>
          <w:numId w:val="16"/>
        </w:numPr>
        <w:jc w:val="both"/>
        <w:rPr>
          <w:color w:val="0D0D0D" w:themeColor="text1" w:themeTint="F2" w:themeShade="FF"/>
          <w:sz w:val="24"/>
          <w:szCs w:val="24"/>
        </w:rPr>
      </w:pPr>
      <w:r w:rsidRPr="5970D44B" w:rsidR="30172A76">
        <w:rPr>
          <w:color w:val="0D0D0D" w:themeColor="text1" w:themeTint="F2" w:themeShade="FF"/>
          <w:sz w:val="24"/>
          <w:szCs w:val="24"/>
        </w:rPr>
        <w:t xml:space="preserve">To promote and prioritise teaching and learning across the school with a specific focus on </w:t>
      </w:r>
      <w:r w:rsidRPr="5970D44B" w:rsidR="33C78B3D">
        <w:rPr>
          <w:color w:val="0D0D0D" w:themeColor="text1" w:themeTint="F2" w:themeShade="FF"/>
          <w:sz w:val="24"/>
          <w:szCs w:val="24"/>
        </w:rPr>
        <w:t>Phonics, Reading, Writing and Maths</w:t>
      </w:r>
      <w:r w:rsidRPr="5970D44B" w:rsidR="73C16080">
        <w:rPr>
          <w:color w:val="0D0D0D" w:themeColor="text1" w:themeTint="F2" w:themeShade="FF"/>
          <w:sz w:val="24"/>
          <w:szCs w:val="24"/>
        </w:rPr>
        <w:t>.</w:t>
      </w:r>
    </w:p>
    <w:p w:rsidR="33C78B3D" w:rsidP="5970D44B" w:rsidRDefault="33C78B3D" w14:paraId="799F8440" w14:textId="76B15061">
      <w:pPr>
        <w:pStyle w:val="ListParagraph"/>
        <w:numPr>
          <w:ilvl w:val="0"/>
          <w:numId w:val="16"/>
        </w:numPr>
        <w:jc w:val="both"/>
        <w:rPr>
          <w:color w:val="0D0D0D" w:themeColor="text1" w:themeTint="F2" w:themeShade="FF"/>
          <w:sz w:val="24"/>
          <w:szCs w:val="24"/>
        </w:rPr>
      </w:pPr>
      <w:r w:rsidRPr="5970D44B" w:rsidR="33C78B3D">
        <w:rPr>
          <w:color w:val="0D0D0D" w:themeColor="text1" w:themeTint="F2" w:themeShade="FF"/>
          <w:sz w:val="24"/>
          <w:szCs w:val="24"/>
        </w:rPr>
        <w:t>To ensure that all pupils, regardless of need, are exposed to enriching learning experiences</w:t>
      </w:r>
      <w:r w:rsidRPr="5970D44B" w:rsidR="3FB8AD6A">
        <w:rPr>
          <w:color w:val="0D0D0D" w:themeColor="text1" w:themeTint="F2" w:themeShade="FF"/>
          <w:sz w:val="24"/>
          <w:szCs w:val="24"/>
        </w:rPr>
        <w:t>.</w:t>
      </w:r>
      <w:r w:rsidRPr="5970D44B" w:rsidR="33C78B3D">
        <w:rPr>
          <w:color w:val="0D0D0D" w:themeColor="text1" w:themeTint="F2" w:themeShade="FF"/>
          <w:sz w:val="24"/>
          <w:szCs w:val="24"/>
        </w:rPr>
        <w:t xml:space="preserve"> </w:t>
      </w:r>
    </w:p>
    <w:p w:rsidR="1980943A" w:rsidP="5970D44B" w:rsidRDefault="1980943A" w14:paraId="4EF6251D" w14:textId="1B1B55CF">
      <w:pPr>
        <w:pStyle w:val="ListParagraph"/>
        <w:numPr>
          <w:ilvl w:val="0"/>
          <w:numId w:val="16"/>
        </w:numPr>
        <w:jc w:val="both"/>
        <w:rPr>
          <w:color w:val="0D0D0D" w:themeColor="text1" w:themeTint="F2" w:themeShade="FF"/>
          <w:sz w:val="24"/>
          <w:szCs w:val="24"/>
        </w:rPr>
      </w:pPr>
      <w:r w:rsidRPr="5970D44B" w:rsidR="1980943A">
        <w:rPr>
          <w:color w:val="0D0D0D" w:themeColor="text1" w:themeTint="F2" w:themeShade="FF"/>
          <w:sz w:val="24"/>
          <w:szCs w:val="24"/>
        </w:rPr>
        <w:t xml:space="preserve">To improve awareness of </w:t>
      </w:r>
      <w:r w:rsidRPr="5970D44B" w:rsidR="27F4899F">
        <w:rPr>
          <w:color w:val="0D0D0D" w:themeColor="text1" w:themeTint="F2" w:themeShade="FF"/>
          <w:sz w:val="24"/>
          <w:szCs w:val="24"/>
        </w:rPr>
        <w:t xml:space="preserve">and support for </w:t>
      </w:r>
      <w:r w:rsidRPr="5970D44B" w:rsidR="1980943A">
        <w:rPr>
          <w:color w:val="0D0D0D" w:themeColor="text1" w:themeTint="F2" w:themeShade="FF"/>
          <w:sz w:val="24"/>
          <w:szCs w:val="24"/>
        </w:rPr>
        <w:t>mental health and emotional wel</w:t>
      </w:r>
      <w:r w:rsidRPr="5970D44B" w:rsidR="1980943A">
        <w:rPr>
          <w:color w:val="0D0D0D" w:themeColor="text1" w:themeTint="F2" w:themeShade="FF"/>
          <w:sz w:val="24"/>
          <w:szCs w:val="24"/>
        </w:rPr>
        <w:t>lbeing</w:t>
      </w:r>
      <w:r w:rsidRPr="5970D44B" w:rsidR="48792369">
        <w:rPr>
          <w:color w:val="0D0D0D" w:themeColor="text1" w:themeTint="F2" w:themeShade="FF"/>
          <w:sz w:val="24"/>
          <w:szCs w:val="24"/>
        </w:rPr>
        <w:t xml:space="preserve"> </w:t>
      </w:r>
      <w:r w:rsidRPr="5970D44B" w:rsidR="09FD31D5">
        <w:rPr>
          <w:color w:val="0D0D0D" w:themeColor="text1" w:themeTint="F2" w:themeShade="FF"/>
          <w:sz w:val="24"/>
          <w:szCs w:val="24"/>
        </w:rPr>
        <w:t>in o</w:t>
      </w:r>
      <w:r w:rsidRPr="5970D44B" w:rsidR="09FD31D5">
        <w:rPr>
          <w:color w:val="0D0D0D" w:themeColor="text1" w:themeTint="F2" w:themeShade="FF"/>
          <w:sz w:val="24"/>
          <w:szCs w:val="24"/>
        </w:rPr>
        <w:t>rder to</w:t>
      </w:r>
      <w:r w:rsidRPr="5970D44B" w:rsidR="09FD31D5">
        <w:rPr>
          <w:color w:val="0D0D0D" w:themeColor="text1" w:themeTint="F2" w:themeShade="FF"/>
          <w:sz w:val="24"/>
          <w:szCs w:val="24"/>
        </w:rPr>
        <w:t xml:space="preserve"> promote and sustain a positive, child-centred sc</w:t>
      </w:r>
      <w:r w:rsidRPr="5970D44B" w:rsidR="5FB448E7">
        <w:rPr>
          <w:color w:val="0D0D0D" w:themeColor="text1" w:themeTint="F2" w:themeShade="FF"/>
          <w:sz w:val="24"/>
          <w:szCs w:val="24"/>
        </w:rPr>
        <w:t>hool ethos</w:t>
      </w:r>
      <w:r w:rsidRPr="5970D44B" w:rsidR="3632F753">
        <w:rPr>
          <w:color w:val="0D0D0D" w:themeColor="text1" w:themeTint="F2" w:themeShade="FF"/>
          <w:sz w:val="24"/>
          <w:szCs w:val="24"/>
        </w:rPr>
        <w:t>.</w:t>
      </w:r>
    </w:p>
    <w:p w:rsidR="19F68D42" w:rsidP="5970D44B" w:rsidRDefault="19F68D42" w14:paraId="01759584" w14:textId="1B09020B">
      <w:pPr>
        <w:pStyle w:val="ListParagraph"/>
        <w:numPr>
          <w:ilvl w:val="0"/>
          <w:numId w:val="16"/>
        </w:numPr>
        <w:jc w:val="both"/>
        <w:rPr>
          <w:color w:val="0D0D0D" w:themeColor="text1" w:themeTint="F2" w:themeShade="FF"/>
          <w:sz w:val="24"/>
          <w:szCs w:val="24"/>
        </w:rPr>
      </w:pPr>
      <w:r w:rsidRPr="5970D44B" w:rsidR="19F68D42">
        <w:rPr>
          <w:color w:val="0D0D0D" w:themeColor="text1" w:themeTint="F2" w:themeShade="FF"/>
          <w:sz w:val="24"/>
          <w:szCs w:val="24"/>
        </w:rPr>
        <w:t>To improve attendance for our disadvantaged pupils and tac</w:t>
      </w:r>
      <w:r w:rsidRPr="5970D44B" w:rsidR="7948FFDA">
        <w:rPr>
          <w:color w:val="0D0D0D" w:themeColor="text1" w:themeTint="F2" w:themeShade="FF"/>
          <w:sz w:val="24"/>
          <w:szCs w:val="24"/>
        </w:rPr>
        <w:t xml:space="preserve">kle persistent absence and poor </w:t>
      </w:r>
    </w:p>
    <w:p w:rsidR="00E66558" w:rsidRDefault="009D71E8" w14:paraId="2A7D54EB" w14:textId="77777777">
      <w:pPr>
        <w:pStyle w:val="Heading2"/>
        <w:spacing w:before="600"/>
      </w:pPr>
      <w:r>
        <w:t>Challenges</w:t>
      </w:r>
    </w:p>
    <w:p w:rsidR="00E66558" w:rsidP="00AA355B" w:rsidRDefault="009D71E8" w14:paraId="2A7D54EC" w14:textId="77777777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:rsidTr="5970D44B" w14:paraId="2A7D54EF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ED" w14:textId="77777777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EE" w14:textId="77777777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:rsidTr="5970D44B" w14:paraId="2A7D54F2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0" w14:textId="7777777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9D71E8" w14:paraId="2A7D54F1" w14:textId="24ADCE9C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366B1B19">
              <w:rPr>
                <w:i w:val="0"/>
                <w:iCs w:val="0"/>
                <w:sz w:val="22"/>
                <w:szCs w:val="22"/>
              </w:rPr>
              <w:t xml:space="preserve">Attainment gap between </w:t>
            </w:r>
            <w:r w:rsidRPr="5970D44B" w:rsidR="392771A7">
              <w:rPr>
                <w:i w:val="0"/>
                <w:iCs w:val="0"/>
                <w:sz w:val="22"/>
                <w:szCs w:val="22"/>
              </w:rPr>
              <w:t xml:space="preserve">PP and </w:t>
            </w:r>
            <w:r w:rsidRPr="5970D44B" w:rsidR="392771A7">
              <w:rPr>
                <w:i w:val="0"/>
                <w:iCs w:val="0"/>
                <w:sz w:val="22"/>
                <w:szCs w:val="22"/>
              </w:rPr>
              <w:t>Non PP</w:t>
            </w:r>
            <w:r w:rsidRPr="5970D44B" w:rsidR="392771A7">
              <w:rPr>
                <w:i w:val="0"/>
                <w:iCs w:val="0"/>
                <w:sz w:val="22"/>
                <w:szCs w:val="22"/>
              </w:rPr>
              <w:t xml:space="preserve"> pupils in Reading, Writing and Maths at the end of both KS1 and KS2.</w:t>
            </w:r>
          </w:p>
        </w:tc>
      </w:tr>
      <w:tr w:rsidR="00E66558" w:rsidTr="5970D44B" w14:paraId="2A7D54F5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3" w14:textId="7777777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E66558" w14:paraId="2A7D54F4" w14:textId="7FDF14D6">
            <w:pPr>
              <w:pStyle w:val="TableRowCentered"/>
              <w:jc w:val="left"/>
              <w:rPr>
                <w:sz w:val="22"/>
                <w:szCs w:val="22"/>
              </w:rPr>
            </w:pPr>
            <w:r w:rsidRPr="5970D44B" w:rsidR="66A22BD6">
              <w:rPr>
                <w:sz w:val="22"/>
                <w:szCs w:val="22"/>
              </w:rPr>
              <w:t xml:space="preserve">PP pupils make less progress than </w:t>
            </w:r>
            <w:r w:rsidRPr="5970D44B" w:rsidR="66A22BD6">
              <w:rPr>
                <w:sz w:val="22"/>
                <w:szCs w:val="22"/>
              </w:rPr>
              <w:t>Non PP</w:t>
            </w:r>
            <w:r w:rsidRPr="5970D44B" w:rsidR="66A22BD6">
              <w:rPr>
                <w:sz w:val="22"/>
                <w:szCs w:val="22"/>
              </w:rPr>
              <w:t xml:space="preserve"> pupils from KS1 to the end of KS2.</w:t>
            </w:r>
          </w:p>
        </w:tc>
      </w:tr>
      <w:tr w:rsidR="00E66558" w:rsidTr="5970D44B" w14:paraId="2A7D54F8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6" w14:textId="7777777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E66558" w14:paraId="2A7D54F7" w14:textId="61B63698">
            <w:pPr>
              <w:pStyle w:val="TableRowCentered"/>
              <w:jc w:val="left"/>
              <w:rPr>
                <w:sz w:val="22"/>
                <w:szCs w:val="22"/>
              </w:rPr>
            </w:pPr>
            <w:r w:rsidRPr="5970D44B" w:rsidR="3F194612">
              <w:rPr>
                <w:sz w:val="22"/>
                <w:szCs w:val="22"/>
              </w:rPr>
              <w:t xml:space="preserve">Lower attendance of PP compared to </w:t>
            </w:r>
            <w:r w:rsidRPr="5970D44B" w:rsidR="3F194612">
              <w:rPr>
                <w:sz w:val="22"/>
                <w:szCs w:val="22"/>
              </w:rPr>
              <w:t>Non PP</w:t>
            </w:r>
            <w:r w:rsidRPr="5970D44B" w:rsidR="541BCC9B">
              <w:rPr>
                <w:sz w:val="22"/>
                <w:szCs w:val="22"/>
              </w:rPr>
              <w:t>; overall attendance has fallen below National.</w:t>
            </w:r>
          </w:p>
        </w:tc>
      </w:tr>
      <w:tr w:rsidR="00E66558" w:rsidTr="5970D44B" w14:paraId="2A7D54FB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9" w14:textId="7777777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4FA" w14:textId="19B30A2D">
            <w:pPr>
              <w:pStyle w:val="TableRowCentered"/>
              <w:jc w:val="left"/>
              <w:rPr>
                <w:sz w:val="22"/>
                <w:szCs w:val="22"/>
              </w:rPr>
            </w:pPr>
            <w:r w:rsidRPr="5970D44B" w:rsidR="4EAC6B77">
              <w:rPr>
                <w:sz w:val="22"/>
                <w:szCs w:val="22"/>
              </w:rPr>
              <w:t xml:space="preserve">Socio-economic factors preventing pupils from accessing cultural and other enrichment activities. </w:t>
            </w:r>
          </w:p>
        </w:tc>
      </w:tr>
      <w:tr w:rsidR="00E66558" w:rsidTr="5970D44B" w14:paraId="2A7D54FE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C" w14:textId="77777777">
            <w:pPr>
              <w:pStyle w:val="TableRow"/>
              <w:rPr>
                <w:sz w:val="22"/>
                <w:szCs w:val="22"/>
              </w:rPr>
            </w:pPr>
            <w:bookmarkStart w:name="_Toc443397160" w:id="16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4FD" w14:textId="3DDC7C0F">
            <w:pPr>
              <w:pStyle w:val="TableRowCentered"/>
              <w:jc w:val="left"/>
              <w:rPr>
                <w:sz w:val="22"/>
                <w:szCs w:val="22"/>
              </w:rPr>
            </w:pPr>
            <w:r w:rsidRPr="5970D44B" w:rsidR="098914B9">
              <w:rPr>
                <w:sz w:val="22"/>
                <w:szCs w:val="22"/>
              </w:rPr>
              <w:t>Continuing effects of lockdown on the emotional and mental health of pupils</w:t>
            </w:r>
            <w:r w:rsidRPr="5970D44B" w:rsidR="4E105E2C">
              <w:rPr>
                <w:sz w:val="22"/>
                <w:szCs w:val="22"/>
              </w:rPr>
              <w:t xml:space="preserve">. </w:t>
            </w:r>
          </w:p>
        </w:tc>
      </w:tr>
    </w:tbl>
    <w:p w:rsidR="00E66558" w:rsidRDefault="009D71E8" w14:paraId="2A7D54FF" w14:textId="77777777">
      <w:pPr>
        <w:pStyle w:val="Heading2"/>
        <w:spacing w:before="600"/>
      </w:pPr>
      <w:r>
        <w:t xml:space="preserve">Intended </w:t>
      </w:r>
      <w:r w:rsidRPr="00A968DA">
        <w:t>outcomes</w:t>
      </w:r>
      <w:r>
        <w:t xml:space="preserve"> </w:t>
      </w:r>
    </w:p>
    <w:p w:rsidR="00E66558" w:rsidRDefault="009D71E8" w14:paraId="2A7D5500" w14:textId="77777777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:rsidTr="5970D44B" w14:paraId="2A7D5503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01" w14:textId="77777777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02" w14:textId="77777777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:rsidTr="5970D44B" w14:paraId="2A7D5506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9D71E8" w14:paraId="2A7D5504" w14:textId="6485253F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5476F490">
              <w:rPr>
                <w:i w:val="0"/>
                <w:iCs w:val="0"/>
                <w:sz w:val="22"/>
                <w:szCs w:val="22"/>
              </w:rPr>
              <w:t xml:space="preserve">Increase in attendance and punctuality – pupils with good attendance have more opportunities to access </w:t>
            </w:r>
            <w:r w:rsidRPr="5970D44B" w:rsidR="131BD9C2">
              <w:rPr>
                <w:i w:val="0"/>
                <w:iCs w:val="0"/>
                <w:sz w:val="22"/>
                <w:szCs w:val="22"/>
              </w:rPr>
              <w:t xml:space="preserve">learning. 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05" w14:textId="2498AD98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131BD9C2">
              <w:rPr>
                <w:i w:val="0"/>
                <w:iCs w:val="0"/>
                <w:sz w:val="22"/>
                <w:szCs w:val="22"/>
              </w:rPr>
              <w:t xml:space="preserve">Pupil attendance rises to consistently above National. </w:t>
            </w:r>
            <w:r w:rsidRPr="5970D44B" w:rsidR="19827026">
              <w:rPr>
                <w:i w:val="0"/>
                <w:iCs w:val="0"/>
                <w:sz w:val="22"/>
                <w:szCs w:val="22"/>
              </w:rPr>
              <w:t xml:space="preserve">This will be </w:t>
            </w:r>
            <w:r w:rsidRPr="5970D44B" w:rsidR="19827026">
              <w:rPr>
                <w:i w:val="0"/>
                <w:iCs w:val="0"/>
                <w:sz w:val="22"/>
                <w:szCs w:val="22"/>
              </w:rPr>
              <w:t>monitored</w:t>
            </w:r>
            <w:r w:rsidRPr="5970D44B" w:rsidR="19827026">
              <w:rPr>
                <w:i w:val="0"/>
                <w:iCs w:val="0"/>
                <w:sz w:val="22"/>
                <w:szCs w:val="22"/>
              </w:rPr>
              <w:t xml:space="preserve"> using the Arbor MIS and reported to the LGB. </w:t>
            </w:r>
          </w:p>
        </w:tc>
      </w:tr>
      <w:tr w:rsidR="00E66558" w:rsidTr="5970D44B" w14:paraId="2A7D5509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07" w14:textId="4266FA01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19827026">
              <w:rPr>
                <w:i w:val="0"/>
                <w:iCs w:val="0"/>
                <w:sz w:val="22"/>
                <w:szCs w:val="22"/>
              </w:rPr>
              <w:t>PP pupils achieve the same, if not better,</w:t>
            </w:r>
            <w:r w:rsidRPr="5970D44B" w:rsidR="1065A425">
              <w:rPr>
                <w:i w:val="0"/>
                <w:iCs w:val="0"/>
                <w:sz w:val="22"/>
                <w:szCs w:val="22"/>
              </w:rPr>
              <w:t xml:space="preserve"> attainment in Reading, Writing and Maths compared to </w:t>
            </w:r>
            <w:r w:rsidRPr="5970D44B" w:rsidR="1065A425">
              <w:rPr>
                <w:i w:val="0"/>
                <w:iCs w:val="0"/>
                <w:sz w:val="22"/>
                <w:szCs w:val="22"/>
              </w:rPr>
              <w:t>Non PP</w:t>
            </w:r>
            <w:r w:rsidRPr="5970D44B" w:rsidR="1065A425">
              <w:rPr>
                <w:i w:val="0"/>
                <w:iCs w:val="0"/>
                <w:sz w:val="22"/>
                <w:szCs w:val="22"/>
              </w:rPr>
              <w:t xml:space="preserve"> pupils. </w:t>
            </w:r>
            <w:r w:rsidRPr="5970D44B" w:rsidR="19827026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08" w14:textId="725349F4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42C18EB0">
              <w:rPr>
                <w:i w:val="0"/>
                <w:iCs w:val="0"/>
                <w:sz w:val="22"/>
                <w:szCs w:val="22"/>
              </w:rPr>
              <w:t>Attainment</w:t>
            </w:r>
            <w:r w:rsidRPr="5970D44B" w:rsidR="34C39253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5970D44B" w:rsidR="42C18EB0">
              <w:rPr>
                <w:i w:val="0"/>
                <w:iCs w:val="0"/>
                <w:sz w:val="22"/>
                <w:szCs w:val="22"/>
              </w:rPr>
              <w:t>da</w:t>
            </w:r>
            <w:r w:rsidRPr="5970D44B" w:rsidR="05C1AA5A">
              <w:rPr>
                <w:i w:val="0"/>
                <w:iCs w:val="0"/>
                <w:sz w:val="22"/>
                <w:szCs w:val="22"/>
              </w:rPr>
              <w:t xml:space="preserve">ta </w:t>
            </w:r>
            <w:r w:rsidRPr="5970D44B" w:rsidR="4C5453B9">
              <w:rPr>
                <w:i w:val="0"/>
                <w:iCs w:val="0"/>
                <w:sz w:val="22"/>
                <w:szCs w:val="22"/>
              </w:rPr>
              <w:t xml:space="preserve">on the Arbor MIS </w:t>
            </w:r>
            <w:r w:rsidRPr="5970D44B" w:rsidR="42C18EB0">
              <w:rPr>
                <w:i w:val="0"/>
                <w:iCs w:val="0"/>
                <w:sz w:val="22"/>
                <w:szCs w:val="22"/>
              </w:rPr>
              <w:t xml:space="preserve">at the end of each year shows </w:t>
            </w:r>
            <w:r w:rsidRPr="5970D44B" w:rsidR="42C18EB0">
              <w:rPr>
                <w:i w:val="0"/>
                <w:iCs w:val="0"/>
                <w:sz w:val="22"/>
                <w:szCs w:val="22"/>
              </w:rPr>
              <w:t>th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>at PP pupils are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>attainin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>g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 xml:space="preserve"> at the same, if not better, level to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>Non P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>P</w:t>
            </w:r>
            <w:r w:rsidRPr="5970D44B" w:rsidR="627D71BB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5970D44B" w:rsidR="224E7044">
              <w:rPr>
                <w:i w:val="0"/>
                <w:iCs w:val="0"/>
                <w:sz w:val="22"/>
                <w:szCs w:val="22"/>
              </w:rPr>
              <w:t>pupil</w:t>
            </w:r>
            <w:r w:rsidRPr="5970D44B" w:rsidR="224E7044">
              <w:rPr>
                <w:i w:val="0"/>
                <w:iCs w:val="0"/>
                <w:sz w:val="22"/>
                <w:szCs w:val="22"/>
              </w:rPr>
              <w:t>s</w:t>
            </w:r>
            <w:r w:rsidRPr="5970D44B" w:rsidR="224E7044">
              <w:rPr>
                <w:i w:val="0"/>
                <w:iCs w:val="0"/>
                <w:sz w:val="22"/>
                <w:szCs w:val="22"/>
              </w:rPr>
              <w:t xml:space="preserve">. </w:t>
            </w:r>
            <w:r w:rsidRPr="5970D44B" w:rsidR="42C18EB0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E66558" w:rsidTr="5970D44B" w14:paraId="2A7D550C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0A" w14:textId="2DCA47EE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37EFC0F8">
              <w:rPr>
                <w:i w:val="0"/>
                <w:iCs w:val="0"/>
                <w:sz w:val="22"/>
                <w:szCs w:val="22"/>
              </w:rPr>
              <w:t>PP pupils progress at the same, if not better, rate in Reading, Writing an</w:t>
            </w:r>
            <w:r w:rsidRPr="5970D44B" w:rsidR="25C46210">
              <w:rPr>
                <w:i w:val="0"/>
                <w:iCs w:val="0"/>
                <w:sz w:val="22"/>
                <w:szCs w:val="22"/>
              </w:rPr>
              <w:t xml:space="preserve">d Maths compared to </w:t>
            </w:r>
            <w:r w:rsidRPr="5970D44B" w:rsidR="25C46210">
              <w:rPr>
                <w:i w:val="0"/>
                <w:iCs w:val="0"/>
                <w:sz w:val="22"/>
                <w:szCs w:val="22"/>
              </w:rPr>
              <w:t>Non PP</w:t>
            </w:r>
            <w:r w:rsidRPr="5970D44B" w:rsidR="25C46210">
              <w:rPr>
                <w:i w:val="0"/>
                <w:iCs w:val="0"/>
                <w:sz w:val="22"/>
                <w:szCs w:val="22"/>
              </w:rPr>
              <w:t xml:space="preserve"> pupils.. 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0B" w14:textId="7330846A">
            <w:pPr>
              <w:pStyle w:val="TableRowCentered"/>
              <w:ind w:left="0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25C46210">
              <w:rPr>
                <w:i w:val="0"/>
                <w:iCs w:val="0"/>
                <w:sz w:val="22"/>
                <w:szCs w:val="22"/>
              </w:rPr>
              <w:t xml:space="preserve">Data at the end of KS2 shows that PP pupils </w:t>
            </w:r>
            <w:r w:rsidRPr="5970D44B" w:rsidR="73DE708C">
              <w:rPr>
                <w:i w:val="0"/>
                <w:iCs w:val="0"/>
                <w:sz w:val="22"/>
                <w:szCs w:val="22"/>
              </w:rPr>
              <w:t>make</w:t>
            </w:r>
            <w:r w:rsidRPr="5970D44B" w:rsidR="25C46210">
              <w:rPr>
                <w:i w:val="0"/>
                <w:iCs w:val="0"/>
                <w:sz w:val="22"/>
                <w:szCs w:val="22"/>
              </w:rPr>
              <w:t xml:space="preserve"> the same, if not better, </w:t>
            </w:r>
            <w:r w:rsidRPr="5970D44B" w:rsidR="49782EBF">
              <w:rPr>
                <w:i w:val="0"/>
                <w:iCs w:val="0"/>
                <w:sz w:val="22"/>
                <w:szCs w:val="22"/>
              </w:rPr>
              <w:t>progress from KS1 to Y6 compared to</w:t>
            </w:r>
            <w:r w:rsidRPr="5970D44B" w:rsidR="25C46210">
              <w:rPr>
                <w:i w:val="0"/>
                <w:iCs w:val="0"/>
                <w:sz w:val="22"/>
                <w:szCs w:val="22"/>
              </w:rPr>
              <w:t xml:space="preserve"> Non PP</w:t>
            </w:r>
            <w:r w:rsidRPr="5970D44B" w:rsidR="5330E325">
              <w:rPr>
                <w:i w:val="0"/>
                <w:iCs w:val="0"/>
                <w:sz w:val="22"/>
                <w:szCs w:val="22"/>
              </w:rPr>
              <w:t xml:space="preserve"> pupils. </w:t>
            </w:r>
          </w:p>
        </w:tc>
      </w:tr>
      <w:tr w:rsidR="00E66558" w:rsidTr="5970D44B" w14:paraId="2A7D550F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0D" w14:textId="350E00CA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5330E325">
              <w:rPr>
                <w:i w:val="0"/>
                <w:iCs w:val="0"/>
                <w:sz w:val="22"/>
                <w:szCs w:val="22"/>
              </w:rPr>
              <w:t>All pupils are provided with the opportunity to access enrichment activities such as learning an instrument</w:t>
            </w:r>
            <w:r w:rsidRPr="5970D44B" w:rsidR="618B16E4">
              <w:rPr>
                <w:i w:val="0"/>
                <w:iCs w:val="0"/>
                <w:sz w:val="22"/>
                <w:szCs w:val="22"/>
              </w:rPr>
              <w:t xml:space="preserve"> and going on school trips. 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0E" w14:textId="3002F713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618B16E4">
              <w:rPr>
                <w:i w:val="0"/>
                <w:iCs w:val="0"/>
                <w:sz w:val="22"/>
                <w:szCs w:val="22"/>
              </w:rPr>
              <w:t>No PP pupils are prevented from accessing enrichment activities or from attending school</w:t>
            </w:r>
            <w:r w:rsidRPr="5970D44B" w:rsidR="202FFC16">
              <w:rPr>
                <w:i w:val="0"/>
                <w:iCs w:val="0"/>
                <w:sz w:val="22"/>
                <w:szCs w:val="22"/>
              </w:rPr>
              <w:t xml:space="preserve">. </w:t>
            </w:r>
          </w:p>
        </w:tc>
      </w:tr>
      <w:tr w:rsidR="5970D44B" w:rsidTr="5970D44B" w14:paraId="6FD5E395">
        <w:trPr>
          <w:trHeight w:val="300"/>
        </w:trPr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EFD08A8" w:rsidP="5970D44B" w:rsidRDefault="3EFD08A8" w14:paraId="2DCA9FA5" w14:textId="523132E6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3EFD08A8">
              <w:rPr>
                <w:i w:val="0"/>
                <w:iCs w:val="0"/>
                <w:sz w:val="22"/>
                <w:szCs w:val="22"/>
              </w:rPr>
              <w:t>I</w:t>
            </w:r>
            <w:r w:rsidRPr="5970D44B" w:rsidR="653B77AB">
              <w:rPr>
                <w:i w:val="0"/>
                <w:iCs w:val="0"/>
                <w:sz w:val="22"/>
                <w:szCs w:val="22"/>
              </w:rPr>
              <w:t>mproved</w:t>
            </w:r>
            <w:r w:rsidRPr="5970D44B" w:rsidR="3EFD08A8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5970D44B" w:rsidR="202FFC16">
              <w:rPr>
                <w:i w:val="0"/>
                <w:iCs w:val="0"/>
                <w:sz w:val="22"/>
                <w:szCs w:val="22"/>
              </w:rPr>
              <w:t>emotional and mental health for PP pupils</w:t>
            </w:r>
            <w:r w:rsidRPr="5970D44B" w:rsidR="5ABDE3E2">
              <w:rPr>
                <w:i w:val="0"/>
                <w:iCs w:val="0"/>
                <w:sz w:val="22"/>
                <w:szCs w:val="22"/>
              </w:rPr>
              <w:t xml:space="preserve">. 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58B35B5" w:rsidP="5970D44B" w:rsidRDefault="358B35B5" w14:paraId="3B3061B3" w14:textId="3B007DB1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358B35B5">
              <w:rPr>
                <w:i w:val="0"/>
                <w:iCs w:val="0"/>
                <w:sz w:val="22"/>
                <w:szCs w:val="22"/>
              </w:rPr>
              <w:t xml:space="preserve">Wellbeing interventions show </w:t>
            </w:r>
            <w:r w:rsidRPr="5970D44B" w:rsidR="358B35B5">
              <w:rPr>
                <w:i w:val="0"/>
                <w:iCs w:val="0"/>
                <w:sz w:val="22"/>
                <w:szCs w:val="22"/>
              </w:rPr>
              <w:t>good progress</w:t>
            </w:r>
            <w:r w:rsidRPr="5970D44B" w:rsidR="358B35B5">
              <w:rPr>
                <w:i w:val="0"/>
                <w:iCs w:val="0"/>
                <w:sz w:val="22"/>
                <w:szCs w:val="22"/>
              </w:rPr>
              <w:t xml:space="preserve"> against targets. Pupil voice shows increasing confi</w:t>
            </w:r>
            <w:r w:rsidRPr="5970D44B" w:rsidR="7DA1EDD9">
              <w:rPr>
                <w:i w:val="0"/>
                <w:iCs w:val="0"/>
                <w:sz w:val="22"/>
                <w:szCs w:val="22"/>
              </w:rPr>
              <w:t xml:space="preserve">dence and feeling of security. </w:t>
            </w:r>
          </w:p>
        </w:tc>
      </w:tr>
    </w:tbl>
    <w:p w:rsidR="00120AB1" w:rsidP="00ED5108" w:rsidRDefault="00120AB1" w14:paraId="60BAD9F6" w14:textId="77777777"/>
    <w:p w:rsidR="00120AB1" w:rsidP="00BD4B12" w:rsidRDefault="00120AB1" w14:paraId="2A06959E" w14:textId="2218981A"/>
    <w:p w:rsidR="00E66558" w:rsidRDefault="009D71E8" w14:paraId="2A7D5512" w14:textId="7B489199">
      <w:pPr>
        <w:pStyle w:val="Heading2"/>
      </w:pPr>
      <w:r>
        <w:lastRenderedPageBreak/>
        <w:t>Activity in this academic year</w:t>
      </w:r>
    </w:p>
    <w:p w:rsidR="00E66558" w:rsidRDefault="009D71E8" w14:paraId="2A7D5513" w14:textId="603E7BD1">
      <w:pPr>
        <w:spacing w:after="480"/>
      </w:pPr>
      <w:r w:rsidR="009D71E8">
        <w:rPr/>
        <w:t>This details how we intend to spend our pupil premium (and recovery premium</w:t>
      </w:r>
      <w:r w:rsidR="00A112B5">
        <w:rPr/>
        <w:t>)</w:t>
      </w:r>
      <w:r w:rsidR="009D71E8">
        <w:rPr/>
        <w:t xml:space="preserve"> funding </w:t>
      </w:r>
      <w:r w:rsidRPr="5970D44B" w:rsidR="009D71E8">
        <w:rPr>
          <w:b w:val="1"/>
          <w:bCs w:val="1"/>
        </w:rPr>
        <w:t>this academic year</w:t>
      </w:r>
      <w:r w:rsidR="009D71E8">
        <w:rPr/>
        <w:t xml:space="preserve"> to address the challenges listed above.</w:t>
      </w:r>
    </w:p>
    <w:p w:rsidR="5970D44B" w:rsidP="5970D44B" w:rsidRDefault="5970D44B" w14:paraId="7A44D966" w14:textId="780E16D4">
      <w:pPr>
        <w:pStyle w:val="Heading3"/>
      </w:pPr>
    </w:p>
    <w:p w:rsidR="5970D44B" w:rsidP="5970D44B" w:rsidRDefault="5970D44B" w14:paraId="53BC6D4F" w14:textId="303CCE94">
      <w:pPr>
        <w:pStyle w:val="Heading3"/>
      </w:pPr>
    </w:p>
    <w:p w:rsidR="00E66558" w:rsidRDefault="009D71E8" w14:paraId="2A7D5514" w14:textId="77777777">
      <w:pPr>
        <w:pStyle w:val="Heading3"/>
      </w:pPr>
      <w:r>
        <w:t>Teaching (for example, CPD, recruitment and retention)</w:t>
      </w:r>
    </w:p>
    <w:p w:rsidR="00E66558" w:rsidP="5970D44B" w:rsidRDefault="009D71E8" w14:paraId="2A7D5515" w14:textId="62FE478E">
      <w:pPr>
        <w:rPr>
          <w:i w:val="1"/>
          <w:iCs w:val="1"/>
        </w:rPr>
      </w:pPr>
      <w:r w:rsidR="009D71E8">
        <w:rPr/>
        <w:t>Budgeted cost: £</w:t>
      </w:r>
      <w:r w:rsidR="683C2732">
        <w:rPr/>
        <w:t>40,000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:rsidTr="5970D44B" w14:paraId="2A7D5519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16" w14:textId="77777777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17" w14:textId="77777777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18" w14:textId="77777777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5970D44B" w14:paraId="2A7D551D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9D71E8" w14:paraId="2A7D551A" w14:textId="2BDBADE4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7AEBB83C">
              <w:rPr>
                <w:i w:val="0"/>
                <w:iCs w:val="0"/>
                <w:sz w:val="22"/>
                <w:szCs w:val="22"/>
              </w:rPr>
              <w:t xml:space="preserve">Employment of an </w:t>
            </w:r>
            <w:r w:rsidRPr="5970D44B" w:rsidR="7AEBB83C">
              <w:rPr>
                <w:i w:val="0"/>
                <w:iCs w:val="0"/>
                <w:sz w:val="22"/>
                <w:szCs w:val="22"/>
              </w:rPr>
              <w:t>additional</w:t>
            </w:r>
            <w:r w:rsidRPr="5970D44B" w:rsidR="7AEBB83C">
              <w:rPr>
                <w:i w:val="0"/>
                <w:iCs w:val="0"/>
                <w:sz w:val="22"/>
                <w:szCs w:val="22"/>
              </w:rPr>
              <w:t xml:space="preserve"> Higher Level Teaching Assistant to </w:t>
            </w:r>
            <w:r w:rsidRPr="5970D44B" w:rsidR="7AEBB83C">
              <w:rPr>
                <w:i w:val="0"/>
                <w:iCs w:val="0"/>
                <w:sz w:val="22"/>
                <w:szCs w:val="22"/>
              </w:rPr>
              <w:t>provide</w:t>
            </w:r>
            <w:r w:rsidRPr="5970D44B" w:rsidR="7AEBB83C">
              <w:rPr>
                <w:i w:val="0"/>
                <w:iCs w:val="0"/>
                <w:sz w:val="22"/>
                <w:szCs w:val="22"/>
              </w:rPr>
              <w:t xml:space="preserve"> high quality interventions and support across </w:t>
            </w:r>
            <w:r w:rsidRPr="5970D44B" w:rsidR="06337EFD">
              <w:rPr>
                <w:i w:val="0"/>
                <w:iCs w:val="0"/>
                <w:sz w:val="22"/>
                <w:szCs w:val="22"/>
              </w:rPr>
              <w:t xml:space="preserve">the school. 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1B" w14:textId="67ADE403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06337EFD">
              <w:rPr>
                <w:i w:val="0"/>
                <w:iCs w:val="0"/>
                <w:sz w:val="22"/>
                <w:szCs w:val="22"/>
              </w:rPr>
              <w:t>Development of small step learning</w:t>
            </w:r>
            <w:r w:rsidRPr="5970D44B" w:rsidR="62CFBBF8">
              <w:rPr>
                <w:i w:val="0"/>
                <w:iCs w:val="0"/>
                <w:sz w:val="22"/>
                <w:szCs w:val="22"/>
              </w:rPr>
              <w:t xml:space="preserve"> with targeted pupils</w:t>
            </w:r>
            <w:r w:rsidRPr="5970D44B" w:rsidR="06337EFD">
              <w:rPr>
                <w:i w:val="0"/>
                <w:iCs w:val="0"/>
                <w:sz w:val="22"/>
                <w:szCs w:val="22"/>
              </w:rPr>
              <w:t xml:space="preserve"> to help reduce the attainment gap between PP and </w:t>
            </w:r>
            <w:r w:rsidRPr="5970D44B" w:rsidR="3CBCCC13">
              <w:rPr>
                <w:i w:val="0"/>
                <w:iCs w:val="0"/>
                <w:sz w:val="22"/>
                <w:szCs w:val="22"/>
              </w:rPr>
              <w:t>Non PP</w:t>
            </w:r>
            <w:r w:rsidRPr="5970D44B" w:rsidR="3CBCCC13">
              <w:rPr>
                <w:i w:val="0"/>
                <w:iCs w:val="0"/>
                <w:sz w:val="22"/>
                <w:szCs w:val="22"/>
              </w:rPr>
              <w:t xml:space="preserve"> pupils; this will also lead to </w:t>
            </w:r>
            <w:r w:rsidRPr="5970D44B" w:rsidR="0FC64406">
              <w:rPr>
                <w:i w:val="0"/>
                <w:iCs w:val="0"/>
                <w:sz w:val="22"/>
                <w:szCs w:val="22"/>
              </w:rPr>
              <w:t xml:space="preserve">an increased rate of progress. 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1C" w14:textId="1C8E58A2">
            <w:pPr>
              <w:pStyle w:val="TableRowCentered"/>
              <w:suppressLineNumbers w:val="0"/>
              <w:bidi w:val="0"/>
              <w:spacing w:before="60" w:beforeAutospacing="off" w:after="60" w:afterAutospacing="off" w:line="259" w:lineRule="auto"/>
              <w:ind w:left="57" w:right="57"/>
              <w:jc w:val="left"/>
            </w:pPr>
            <w:r w:rsidRPr="5970D44B" w:rsidR="29050B8F">
              <w:rPr>
                <w:i w:val="0"/>
                <w:iCs w:val="0"/>
                <w:sz w:val="22"/>
                <w:szCs w:val="22"/>
              </w:rPr>
              <w:t>1,2</w:t>
            </w:r>
          </w:p>
        </w:tc>
      </w:tr>
      <w:tr w:rsidR="00E66558" w:rsidTr="5970D44B" w14:paraId="2A7D5521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1E" w14:textId="021FEC06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757F4D02">
              <w:rPr>
                <w:i w:val="0"/>
                <w:iCs w:val="0"/>
                <w:sz w:val="22"/>
                <w:szCs w:val="22"/>
              </w:rPr>
              <w:t xml:space="preserve">Release of subject leaders to </w:t>
            </w:r>
            <w:r w:rsidRPr="5970D44B" w:rsidR="757F4D02">
              <w:rPr>
                <w:i w:val="0"/>
                <w:iCs w:val="0"/>
                <w:sz w:val="22"/>
                <w:szCs w:val="22"/>
              </w:rPr>
              <w:t>monitor</w:t>
            </w:r>
            <w:r w:rsidRPr="5970D44B" w:rsidR="757F4D02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5970D44B" w:rsidR="0D100E69">
              <w:rPr>
                <w:i w:val="0"/>
                <w:iCs w:val="0"/>
                <w:sz w:val="22"/>
                <w:szCs w:val="22"/>
              </w:rPr>
              <w:t xml:space="preserve">and support high quality teaching across the curriculum. 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1F" w14:textId="23DF31A7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7E10DE25">
              <w:rPr>
                <w:i w:val="0"/>
                <w:iCs w:val="0"/>
                <w:sz w:val="22"/>
                <w:szCs w:val="22"/>
              </w:rPr>
              <w:t>Ensuring h</w:t>
            </w:r>
            <w:r w:rsidRPr="5970D44B" w:rsidR="0D100E69">
              <w:rPr>
                <w:i w:val="0"/>
                <w:iCs w:val="0"/>
                <w:sz w:val="22"/>
                <w:szCs w:val="22"/>
              </w:rPr>
              <w:t xml:space="preserve">igh quality teaching across the whole curriculum will lead to </w:t>
            </w:r>
            <w:r w:rsidRPr="5970D44B" w:rsidR="6446E8E6">
              <w:rPr>
                <w:i w:val="0"/>
                <w:iCs w:val="0"/>
                <w:sz w:val="22"/>
                <w:szCs w:val="22"/>
              </w:rPr>
              <w:t xml:space="preserve">increased attainment and greater progress for all pupils. </w:t>
            </w:r>
            <w:r w:rsidRPr="5970D44B" w:rsidR="29B63550">
              <w:rPr>
                <w:i w:val="0"/>
                <w:iCs w:val="0"/>
                <w:sz w:val="22"/>
                <w:szCs w:val="22"/>
              </w:rPr>
              <w:t>Appropriate adaptation will address the needs of all learners, regardless of starting point.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20" w14:textId="60552024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29B63550">
              <w:rPr>
                <w:i w:val="0"/>
                <w:iCs w:val="0"/>
                <w:sz w:val="22"/>
                <w:szCs w:val="22"/>
              </w:rPr>
              <w:t>1,2</w:t>
            </w:r>
            <w:r w:rsidRPr="5970D44B" w:rsidR="453254A3">
              <w:rPr>
                <w:i w:val="0"/>
                <w:iCs w:val="0"/>
                <w:sz w:val="22"/>
                <w:szCs w:val="22"/>
              </w:rPr>
              <w:t>,3</w:t>
            </w:r>
          </w:p>
        </w:tc>
      </w:tr>
      <w:tr w:rsidR="5970D44B" w:rsidTr="5970D44B" w14:paraId="23339388">
        <w:trPr>
          <w:trHeight w:val="300"/>
        </w:trPr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0E7DD3A" w:rsidP="5970D44B" w:rsidRDefault="70E7DD3A" w14:paraId="6D15C2FA" w14:textId="019BFE4F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70E7DD3A">
              <w:rPr>
                <w:i w:val="0"/>
                <w:iCs w:val="0"/>
                <w:sz w:val="22"/>
                <w:szCs w:val="22"/>
              </w:rPr>
              <w:t xml:space="preserve">Embed </w:t>
            </w:r>
            <w:r w:rsidRPr="5970D44B" w:rsidR="6B0578F8">
              <w:rPr>
                <w:i w:val="0"/>
                <w:iCs w:val="0"/>
                <w:sz w:val="22"/>
                <w:szCs w:val="22"/>
              </w:rPr>
              <w:t>effective</w:t>
            </w:r>
            <w:r w:rsidRPr="5970D44B" w:rsidR="70E7DD3A">
              <w:rPr>
                <w:i w:val="0"/>
                <w:iCs w:val="0"/>
                <w:sz w:val="22"/>
                <w:szCs w:val="22"/>
              </w:rPr>
              <w:t xml:space="preserve"> pedagogy through CPD and support. 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6A0E637" w:rsidP="5970D44B" w:rsidRDefault="56A0E637" w14:paraId="0584EF2E" w14:textId="30180747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56A0E637">
              <w:rPr>
                <w:i w:val="0"/>
                <w:iCs w:val="0"/>
                <w:sz w:val="22"/>
                <w:szCs w:val="22"/>
              </w:rPr>
              <w:t xml:space="preserve">Develop the use of </w:t>
            </w:r>
            <w:r w:rsidRPr="5970D44B" w:rsidR="56A0E637">
              <w:rPr>
                <w:i w:val="0"/>
                <w:iCs w:val="0"/>
                <w:sz w:val="22"/>
                <w:szCs w:val="22"/>
              </w:rPr>
              <w:t>Rosenshine’s</w:t>
            </w:r>
            <w:r w:rsidRPr="5970D44B" w:rsidR="56A0E637">
              <w:rPr>
                <w:i w:val="0"/>
                <w:iCs w:val="0"/>
                <w:sz w:val="22"/>
                <w:szCs w:val="22"/>
              </w:rPr>
              <w:t xml:space="preserve"> Principles to inform whole class, small group and 1:1 teaching. </w:t>
            </w:r>
            <w:r w:rsidRPr="5970D44B" w:rsidR="74140BDF">
              <w:rPr>
                <w:i w:val="0"/>
                <w:iCs w:val="0"/>
                <w:sz w:val="22"/>
                <w:szCs w:val="22"/>
              </w:rPr>
              <w:t xml:space="preserve">Ensure that a consistent pedagogical approach is used across the school. 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765090A" w:rsidP="5970D44B" w:rsidRDefault="2765090A" w14:paraId="6EF410F4" w14:textId="22FC8068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2765090A">
              <w:rPr>
                <w:i w:val="0"/>
                <w:iCs w:val="0"/>
                <w:sz w:val="22"/>
                <w:szCs w:val="22"/>
              </w:rPr>
              <w:t>1,2</w:t>
            </w:r>
            <w:r w:rsidRPr="5970D44B" w:rsidR="7EDC4A7C">
              <w:rPr>
                <w:i w:val="0"/>
                <w:iCs w:val="0"/>
                <w:sz w:val="22"/>
                <w:szCs w:val="22"/>
              </w:rPr>
              <w:t>,3</w:t>
            </w:r>
          </w:p>
        </w:tc>
      </w:tr>
    </w:tbl>
    <w:p w:rsidR="00E66558" w:rsidP="00ED5108" w:rsidRDefault="00E66558" w14:paraId="2A7D5522" w14:textId="77777777"/>
    <w:p w:rsidRPr="00AA355B" w:rsidR="00E66558" w:rsidP="00AA355B" w:rsidRDefault="009D71E8" w14:paraId="2A7D5523" w14:textId="5B2BE35F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:rsidR="00E66558" w:rsidRDefault="009D71E8" w14:paraId="2A7D5524" w14:textId="51F971CF">
      <w:r w:rsidR="009D71E8">
        <w:rPr/>
        <w:t>Budgeted cost: £</w:t>
      </w:r>
      <w:r w:rsidR="55859A94">
        <w:rPr/>
        <w:t>20,</w:t>
      </w:r>
      <w:r w:rsidR="4A2891FE">
        <w:rPr/>
        <w:t>900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:rsidTr="5970D44B" w14:paraId="2A7D5528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25" w14:textId="77777777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26" w14:textId="77777777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27" w14:textId="77777777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5970D44B" w14:paraId="2A7D552C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9D71E8" w14:paraId="2A7D5529" w14:textId="56503650">
            <w:pPr>
              <w:pStyle w:val="TableRow"/>
              <w:ind w:left="0"/>
              <w:rPr>
                <w:i w:val="0"/>
                <w:iCs w:val="0"/>
                <w:sz w:val="22"/>
                <w:szCs w:val="22"/>
              </w:rPr>
            </w:pPr>
            <w:r w:rsidRPr="5970D44B" w:rsidR="401FD3ED">
              <w:rPr>
                <w:i w:val="0"/>
                <w:iCs w:val="0"/>
                <w:sz w:val="22"/>
                <w:szCs w:val="22"/>
              </w:rPr>
              <w:t xml:space="preserve">Employ Learning Support Assistants to deliver interventions (small group and </w:t>
            </w:r>
            <w:r w:rsidRPr="5970D44B" w:rsidR="52CF64F7">
              <w:rPr>
                <w:i w:val="0"/>
                <w:iCs w:val="0"/>
                <w:sz w:val="22"/>
                <w:szCs w:val="22"/>
              </w:rPr>
              <w:t>1:1)</w:t>
            </w:r>
            <w:r w:rsidRPr="5970D44B" w:rsidR="401FD3ED">
              <w:rPr>
                <w:i w:val="0"/>
                <w:iCs w:val="0"/>
                <w:sz w:val="22"/>
                <w:szCs w:val="22"/>
              </w:rPr>
              <w:t xml:space="preserve"> for lower achieving pupils.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2A" w14:textId="4D7B99E1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7EC4B91E">
              <w:rPr>
                <w:i w:val="0"/>
                <w:iCs w:val="0"/>
                <w:sz w:val="22"/>
                <w:szCs w:val="22"/>
              </w:rPr>
              <w:t xml:space="preserve">Targeted support ensures that gaps in learning are </w:t>
            </w:r>
            <w:r w:rsidRPr="5970D44B" w:rsidR="7EC4B91E">
              <w:rPr>
                <w:i w:val="0"/>
                <w:iCs w:val="0"/>
                <w:sz w:val="22"/>
                <w:szCs w:val="22"/>
              </w:rPr>
              <w:t>identified</w:t>
            </w:r>
            <w:r w:rsidRPr="5970D44B" w:rsidR="7EC4B91E">
              <w:rPr>
                <w:i w:val="0"/>
                <w:iCs w:val="0"/>
                <w:sz w:val="22"/>
                <w:szCs w:val="22"/>
              </w:rPr>
              <w:t xml:space="preserve"> and addressed; this leads to improved progress and attain</w:t>
            </w:r>
            <w:r w:rsidRPr="5970D44B" w:rsidR="3D699E50">
              <w:rPr>
                <w:i w:val="0"/>
                <w:iCs w:val="0"/>
                <w:sz w:val="22"/>
                <w:szCs w:val="22"/>
              </w:rPr>
              <w:t xml:space="preserve">ment. 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2B" w14:textId="485568F9">
            <w:pPr>
              <w:pStyle w:val="TableRowCentered"/>
              <w:suppressLineNumbers w:val="0"/>
              <w:bidi w:val="0"/>
              <w:spacing w:before="60" w:beforeAutospacing="off" w:after="60" w:afterAutospacing="off" w:line="259" w:lineRule="auto"/>
              <w:ind w:left="57" w:right="57"/>
              <w:jc w:val="left"/>
            </w:pPr>
            <w:r w:rsidRPr="5970D44B" w:rsidR="315DEFB6">
              <w:rPr>
                <w:i w:val="0"/>
                <w:iCs w:val="0"/>
                <w:sz w:val="22"/>
                <w:szCs w:val="22"/>
              </w:rPr>
              <w:t>1,2</w:t>
            </w:r>
          </w:p>
        </w:tc>
      </w:tr>
      <w:tr w:rsidR="00E66558" w:rsidTr="5970D44B" w14:paraId="2A7D5530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2D" w14:textId="05A31458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315DEFB6">
              <w:rPr>
                <w:i w:val="0"/>
                <w:iCs w:val="0"/>
                <w:sz w:val="22"/>
                <w:szCs w:val="22"/>
              </w:rPr>
              <w:t>CPD for Learning Support Assistants in interventions.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2E" w14:textId="7A75C0F0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315DEFB6">
              <w:rPr>
                <w:i w:val="0"/>
                <w:iCs w:val="0"/>
                <w:sz w:val="22"/>
                <w:szCs w:val="22"/>
              </w:rPr>
              <w:t xml:space="preserve">Delivery of targeted interventions addresses specific learning needs of individuals and groups of </w:t>
            </w:r>
            <w:r w:rsidRPr="5970D44B" w:rsidR="11EA4331">
              <w:rPr>
                <w:i w:val="0"/>
                <w:iCs w:val="0"/>
                <w:sz w:val="22"/>
                <w:szCs w:val="22"/>
              </w:rPr>
              <w:t xml:space="preserve">pupils. 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2F" w14:textId="7E0084D8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11EA4331">
              <w:rPr>
                <w:i w:val="0"/>
                <w:iCs w:val="0"/>
                <w:sz w:val="22"/>
                <w:szCs w:val="22"/>
              </w:rPr>
              <w:t>1,2</w:t>
            </w:r>
          </w:p>
        </w:tc>
      </w:tr>
    </w:tbl>
    <w:p w:rsidR="00E66558" w:rsidP="00AA355B" w:rsidRDefault="00E66558" w14:paraId="2A7D5531" w14:textId="77777777"/>
    <w:p w:rsidRPr="00AA355B" w:rsidR="00E66558" w:rsidP="00AA355B" w:rsidRDefault="009D71E8" w14:paraId="2A7D5532" w14:textId="59A68BC3">
      <w:pPr>
        <w:pStyle w:val="Heading3"/>
      </w:pPr>
      <w:r>
        <w:t>Wider strategies (for example, related to attendance, behaviour, wellbeing)</w:t>
      </w:r>
    </w:p>
    <w:p w:rsidR="00E66558" w:rsidRDefault="009D71E8" w14:paraId="2A7D5533" w14:textId="7DD753FB">
      <w:pPr>
        <w:spacing w:before="240" w:after="120"/>
      </w:pPr>
      <w:r w:rsidR="009D71E8">
        <w:rPr/>
        <w:t>Budgeted cost: £</w:t>
      </w:r>
      <w:r w:rsidR="3935188F">
        <w:rPr/>
        <w:t>14,000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:rsidTr="5970D44B" w14:paraId="2A7D5537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34" w14:textId="77777777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35" w14:textId="77777777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36" w14:textId="77777777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5970D44B" w14:paraId="2A7D553B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9D71E8" w14:paraId="2A7D5538" w14:textId="1F701102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75ADCA98">
              <w:rPr>
                <w:i w:val="0"/>
                <w:iCs w:val="0"/>
                <w:sz w:val="22"/>
                <w:szCs w:val="22"/>
              </w:rPr>
              <w:t>Incentives and rewards for pupils with good attendance (above National).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39" w14:textId="328AA9BC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17865742">
              <w:rPr>
                <w:i w:val="0"/>
                <w:iCs w:val="0"/>
                <w:sz w:val="22"/>
                <w:szCs w:val="22"/>
              </w:rPr>
              <w:t xml:space="preserve">Pupils who are punctual and have good school attendance have more opportunities to access teaching and </w:t>
            </w:r>
            <w:r w:rsidRPr="5970D44B" w:rsidR="0321C481">
              <w:rPr>
                <w:i w:val="0"/>
                <w:iCs w:val="0"/>
                <w:sz w:val="22"/>
                <w:szCs w:val="22"/>
              </w:rPr>
              <w:t xml:space="preserve">learning, leading to higher attainment and quicker progress. 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3A" w14:textId="7C8A1EF7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0321C481">
              <w:rPr>
                <w:i w:val="0"/>
                <w:iCs w:val="0"/>
                <w:sz w:val="22"/>
                <w:szCs w:val="22"/>
              </w:rPr>
              <w:t>1,2,3</w:t>
            </w:r>
          </w:p>
        </w:tc>
      </w:tr>
      <w:tr w:rsidR="00E66558" w:rsidTr="5970D44B" w14:paraId="2A7D553F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3C" w14:textId="258AF299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0321C481">
              <w:rPr>
                <w:i w:val="0"/>
                <w:iCs w:val="0"/>
                <w:sz w:val="22"/>
                <w:szCs w:val="22"/>
              </w:rPr>
              <w:t xml:space="preserve">Appoint a Mental Health </w:t>
            </w:r>
            <w:r w:rsidRPr="5970D44B" w:rsidR="0321C481">
              <w:rPr>
                <w:i w:val="0"/>
                <w:iCs w:val="0"/>
                <w:sz w:val="22"/>
                <w:szCs w:val="22"/>
              </w:rPr>
              <w:t>Lead</w:t>
            </w:r>
            <w:r w:rsidRPr="5970D44B" w:rsidR="0321C481">
              <w:rPr>
                <w:i w:val="0"/>
                <w:iCs w:val="0"/>
                <w:sz w:val="22"/>
                <w:szCs w:val="22"/>
              </w:rPr>
              <w:t xml:space="preserve"> to plan and </w:t>
            </w:r>
            <w:r w:rsidRPr="5970D44B" w:rsidR="0321C481">
              <w:rPr>
                <w:i w:val="0"/>
                <w:iCs w:val="0"/>
                <w:sz w:val="22"/>
                <w:szCs w:val="22"/>
              </w:rPr>
              <w:t>monitor</w:t>
            </w:r>
            <w:r w:rsidRPr="5970D44B" w:rsidR="0321C481">
              <w:rPr>
                <w:i w:val="0"/>
                <w:iCs w:val="0"/>
                <w:sz w:val="22"/>
                <w:szCs w:val="22"/>
              </w:rPr>
              <w:t xml:space="preserve"> nurture groups across the school. </w:t>
            </w:r>
            <w:r w:rsidRPr="5970D44B" w:rsidR="308E4596">
              <w:rPr>
                <w:i w:val="0"/>
                <w:iCs w:val="0"/>
                <w:sz w:val="22"/>
                <w:szCs w:val="22"/>
              </w:rPr>
              <w:t>Funding for CPD.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3D" w14:textId="482DD21A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0321C481">
              <w:rPr>
                <w:i w:val="0"/>
                <w:iCs w:val="0"/>
                <w:sz w:val="22"/>
                <w:szCs w:val="22"/>
              </w:rPr>
              <w:t>Pupils provided with opportunities to discuss</w:t>
            </w:r>
            <w:r w:rsidRPr="5970D44B" w:rsidR="513BD2FD">
              <w:rPr>
                <w:i w:val="0"/>
                <w:iCs w:val="0"/>
                <w:sz w:val="22"/>
                <w:szCs w:val="22"/>
              </w:rPr>
              <w:t xml:space="preserve"> and deal with</w:t>
            </w:r>
            <w:r w:rsidRPr="5970D44B" w:rsidR="0321C481">
              <w:rPr>
                <w:i w:val="0"/>
                <w:iCs w:val="0"/>
                <w:sz w:val="22"/>
                <w:szCs w:val="22"/>
              </w:rPr>
              <w:t xml:space="preserve"> their issues will be more confident learners </w:t>
            </w:r>
            <w:r w:rsidRPr="5970D44B" w:rsidR="50EB52F9">
              <w:rPr>
                <w:i w:val="0"/>
                <w:iCs w:val="0"/>
                <w:sz w:val="22"/>
                <w:szCs w:val="22"/>
              </w:rPr>
              <w:t xml:space="preserve">and therefore </w:t>
            </w:r>
            <w:r w:rsidRPr="5970D44B" w:rsidR="50EB52F9">
              <w:rPr>
                <w:i w:val="0"/>
                <w:iCs w:val="0"/>
                <w:sz w:val="22"/>
                <w:szCs w:val="22"/>
              </w:rPr>
              <w:t>attain</w:t>
            </w:r>
            <w:r w:rsidRPr="5970D44B" w:rsidR="50EB52F9">
              <w:rPr>
                <w:i w:val="0"/>
                <w:iCs w:val="0"/>
                <w:sz w:val="22"/>
                <w:szCs w:val="22"/>
              </w:rPr>
              <w:t xml:space="preserve"> more. 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970D44B" w:rsidRDefault="00E66558" w14:paraId="2A7D553E" w14:textId="247AE59A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50EB52F9">
              <w:rPr>
                <w:i w:val="0"/>
                <w:iCs w:val="0"/>
                <w:sz w:val="22"/>
                <w:szCs w:val="22"/>
              </w:rPr>
              <w:t>1,2,</w:t>
            </w:r>
            <w:r w:rsidRPr="5970D44B" w:rsidR="68CC9463">
              <w:rPr>
                <w:i w:val="0"/>
                <w:iCs w:val="0"/>
                <w:sz w:val="22"/>
                <w:szCs w:val="22"/>
              </w:rPr>
              <w:t>5</w:t>
            </w:r>
          </w:p>
        </w:tc>
      </w:tr>
      <w:tr w:rsidR="5970D44B" w:rsidTr="5970D44B" w14:paraId="60D93CFB">
        <w:trPr>
          <w:trHeight w:val="300"/>
        </w:trPr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8CC9463" w:rsidP="5970D44B" w:rsidRDefault="68CC9463" w14:paraId="5D241212" w14:textId="4E626636">
            <w:pPr>
              <w:pStyle w:val="TableRow"/>
              <w:rPr>
                <w:i w:val="0"/>
                <w:iCs w:val="0"/>
                <w:sz w:val="22"/>
                <w:szCs w:val="22"/>
              </w:rPr>
            </w:pPr>
            <w:r w:rsidRPr="5970D44B" w:rsidR="68CC9463">
              <w:rPr>
                <w:i w:val="0"/>
                <w:iCs w:val="0"/>
                <w:sz w:val="22"/>
                <w:szCs w:val="22"/>
              </w:rPr>
              <w:t>Provide</w:t>
            </w:r>
            <w:r w:rsidRPr="5970D44B" w:rsidR="68CC9463">
              <w:rPr>
                <w:i w:val="0"/>
                <w:iCs w:val="0"/>
                <w:sz w:val="22"/>
                <w:szCs w:val="22"/>
              </w:rPr>
              <w:t xml:space="preserve"> funding for disadvantaged pupils for enrichment activities such as musical </w:t>
            </w:r>
            <w:r w:rsidRPr="5970D44B" w:rsidR="27717995">
              <w:rPr>
                <w:i w:val="0"/>
                <w:iCs w:val="0"/>
                <w:sz w:val="22"/>
                <w:szCs w:val="22"/>
              </w:rPr>
              <w:t>tuition</w:t>
            </w:r>
            <w:r w:rsidRPr="5970D44B" w:rsidR="27717995">
              <w:rPr>
                <w:i w:val="0"/>
                <w:iCs w:val="0"/>
                <w:sz w:val="22"/>
                <w:szCs w:val="22"/>
              </w:rPr>
              <w:t xml:space="preserve"> and school trips. 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7717995" w:rsidP="5970D44B" w:rsidRDefault="27717995" w14:paraId="42F03B73" w14:textId="7EE355C3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27717995">
              <w:rPr>
                <w:i w:val="0"/>
                <w:iCs w:val="0"/>
                <w:sz w:val="22"/>
                <w:szCs w:val="22"/>
              </w:rPr>
              <w:t xml:space="preserve">No pupil, regardless of their socio-economic circumstances will </w:t>
            </w:r>
            <w:r w:rsidRPr="5970D44B" w:rsidR="27717995">
              <w:rPr>
                <w:i w:val="0"/>
                <w:iCs w:val="0"/>
                <w:sz w:val="22"/>
                <w:szCs w:val="22"/>
              </w:rPr>
              <w:t>miss out on</w:t>
            </w:r>
            <w:r w:rsidRPr="5970D44B" w:rsidR="27717995">
              <w:rPr>
                <w:i w:val="0"/>
                <w:iCs w:val="0"/>
                <w:sz w:val="22"/>
                <w:szCs w:val="22"/>
              </w:rPr>
              <w:t xml:space="preserve"> curriculum e</w:t>
            </w:r>
            <w:r w:rsidRPr="5970D44B" w:rsidR="19737D38">
              <w:rPr>
                <w:i w:val="0"/>
                <w:iCs w:val="0"/>
                <w:sz w:val="22"/>
                <w:szCs w:val="22"/>
              </w:rPr>
              <w:t xml:space="preserve">nrichment activities. 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9737D38" w:rsidP="5970D44B" w:rsidRDefault="19737D38" w14:paraId="1BF23E1E" w14:textId="24F4E967">
            <w:pPr>
              <w:pStyle w:val="TableRowCentered"/>
              <w:jc w:val="left"/>
              <w:rPr>
                <w:i w:val="0"/>
                <w:iCs w:val="0"/>
                <w:sz w:val="22"/>
                <w:szCs w:val="22"/>
              </w:rPr>
            </w:pPr>
            <w:r w:rsidRPr="5970D44B" w:rsidR="19737D38">
              <w:rPr>
                <w:i w:val="0"/>
                <w:iCs w:val="0"/>
                <w:sz w:val="22"/>
                <w:szCs w:val="22"/>
              </w:rPr>
              <w:t>4</w:t>
            </w:r>
          </w:p>
        </w:tc>
      </w:tr>
    </w:tbl>
    <w:p w:rsidR="00E66558" w:rsidRDefault="00E66558" w14:paraId="2A7D5540" w14:textId="77777777">
      <w:pPr>
        <w:spacing w:before="240" w:after="0"/>
        <w:rPr>
          <w:b/>
          <w:bCs/>
          <w:color w:val="104F75"/>
          <w:sz w:val="28"/>
          <w:szCs w:val="28"/>
        </w:rPr>
      </w:pPr>
    </w:p>
    <w:p w:rsidR="00E66558" w:rsidP="5970D44B" w:rsidRDefault="009D71E8" w14:paraId="2A7D5541" w14:textId="5BCBE127">
      <w:pPr>
        <w:rPr>
          <w:i w:val="1"/>
          <w:iCs w:val="1"/>
          <w:color w:val="104F75"/>
          <w:sz w:val="28"/>
          <w:szCs w:val="28"/>
        </w:rPr>
      </w:pPr>
      <w:r w:rsidRPr="5970D44B" w:rsidR="009D71E8">
        <w:rPr>
          <w:b w:val="1"/>
          <w:bCs w:val="1"/>
          <w:color w:val="104F75"/>
          <w:sz w:val="28"/>
          <w:szCs w:val="28"/>
        </w:rPr>
        <w:t>Total budgeted cost: £</w:t>
      </w:r>
      <w:r w:rsidRPr="5970D44B" w:rsidR="1B559F6C">
        <w:rPr>
          <w:b w:val="1"/>
          <w:bCs w:val="1"/>
          <w:color w:val="104F75"/>
          <w:sz w:val="28"/>
          <w:szCs w:val="28"/>
        </w:rPr>
        <w:t>74,900</w:t>
      </w:r>
    </w:p>
    <w:p w:rsidRPr="00064366" w:rsidR="00E66558" w:rsidP="00064366" w:rsidRDefault="009D71E8" w14:paraId="2A7D5542" w14:textId="18352EC3">
      <w:pPr>
        <w:pStyle w:val="Heading1"/>
      </w:pPr>
      <w:r w:rsidRPr="00064366">
        <w:lastRenderedPageBreak/>
        <w:t>Part B: Review of the previous academic year</w:t>
      </w:r>
    </w:p>
    <w:p w:rsidR="008B6404" w:rsidP="00173D4C" w:rsidRDefault="00064366" w14:paraId="751285B7" w14:textId="72ACB452">
      <w:pPr>
        <w:pStyle w:val="Heading2"/>
      </w:pPr>
      <w:r w:rsidRPr="00173D4C">
        <w:t>Outcomes for disadvantaged pupils</w:t>
      </w:r>
    </w:p>
    <w:tbl>
      <w:tblPr>
        <w:tblStyle w:val="TableGrid0"/>
        <w:tblW w:w="9479" w:type="dxa"/>
        <w:tblInd w:w="7" w:type="dxa"/>
        <w:tblCellMar>
          <w:top w:w="4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842"/>
        <w:gridCol w:w="3242"/>
        <w:gridCol w:w="3395"/>
      </w:tblGrid>
      <w:tr w:rsidR="00FE0CB0" w:rsidTr="00FE0CB0" w14:paraId="38CCA4BF" w14:textId="24AF8D85">
        <w:trPr>
          <w:trHeight w:val="403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2E9"/>
          </w:tcPr>
          <w:p w:rsidR="00FE0CB0" w:rsidP="00872CDE" w:rsidRDefault="00FE0CB0" w14:paraId="2CB12A07" w14:textId="77777777">
            <w:pPr>
              <w:spacing w:after="0"/>
              <w:ind w:right="43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Intended outcome 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2E9"/>
          </w:tcPr>
          <w:p w:rsidR="00FE0CB0" w:rsidP="00872CDE" w:rsidRDefault="00FE0CB0" w14:paraId="23A62B02" w14:textId="77777777">
            <w:pPr>
              <w:spacing w:after="0"/>
              <w:ind w:right="43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Success criteria 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2E9"/>
          </w:tcPr>
          <w:p w:rsidRPr="00FE0CB0" w:rsidR="00FE0CB0" w:rsidP="00872CDE" w:rsidRDefault="00FE0CB0" w14:paraId="7DD4FD41" w14:textId="38ECA330">
            <w:pPr>
              <w:spacing w:after="0"/>
              <w:ind w:right="43"/>
              <w:jc w:val="center"/>
              <w:rPr>
                <w:rFonts w:ascii="Arial" w:hAnsi="Arial" w:eastAsia="Arial" w:cs="Arial"/>
                <w:b/>
              </w:rPr>
            </w:pPr>
            <w:r w:rsidRPr="00FE0CB0">
              <w:rPr>
                <w:rFonts w:ascii="Arial" w:hAnsi="Arial" w:eastAsia="Arial" w:cs="Arial"/>
                <w:b/>
              </w:rPr>
              <w:t>Impact</w:t>
            </w:r>
          </w:p>
        </w:tc>
      </w:tr>
      <w:tr w:rsidR="00FE0CB0" w:rsidTr="00FE0CB0" w14:paraId="6A78269E" w14:textId="6F04B3ED">
        <w:trPr>
          <w:trHeight w:val="1086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0CB0" w:rsidRDefault="00FE0CB0" w14:paraId="1DD915FF" w14:textId="23105990">
            <w:pPr>
              <w:spacing w:after="0"/>
              <w:ind w:left="58" w:right="258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Most Pupil Premium pupils to achieve the  same, if not better progress within Maths,  Writing and Reading compared to non PP  pupils 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0CB0" w:rsidRDefault="00FE0CB0" w14:paraId="2C2D8C9D" w14:textId="41B9A12E">
            <w:pPr>
              <w:spacing w:after="0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Progress measures on Arbor indicate same or better progress seen in PP children 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872CDE" w:rsidRDefault="00862E96" w14:paraId="1982385C" w14:textId="77777777">
            <w:pPr>
              <w:spacing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KS1</w:t>
            </w:r>
            <w:r w:rsidR="00E170C5">
              <w:rPr>
                <w:rFonts w:ascii="Calibri" w:hAnsi="Calibri" w:eastAsia="Calibri" w:cs="Calibri"/>
                <w:sz w:val="22"/>
              </w:rPr>
              <w:t xml:space="preserve"> Reading, Writing and Maths</w:t>
            </w:r>
            <w:r w:rsidR="002E7CEF">
              <w:rPr>
                <w:rFonts w:ascii="Calibri" w:hAnsi="Calibri" w:eastAsia="Calibri" w:cs="Calibri"/>
                <w:sz w:val="22"/>
              </w:rPr>
              <w:t xml:space="preserve"> </w:t>
            </w:r>
            <w:r w:rsidR="006F54D4">
              <w:rPr>
                <w:rFonts w:ascii="Calibri" w:hAnsi="Calibri" w:eastAsia="Calibri" w:cs="Calibri"/>
                <w:sz w:val="22"/>
              </w:rPr>
              <w:t>–</w:t>
            </w:r>
            <w:r w:rsidR="002E7CEF">
              <w:rPr>
                <w:rFonts w:ascii="Calibri" w:hAnsi="Calibri" w:eastAsia="Calibri" w:cs="Calibri"/>
                <w:sz w:val="22"/>
              </w:rPr>
              <w:t xml:space="preserve"> </w:t>
            </w:r>
            <w:r w:rsidR="006F54D4">
              <w:rPr>
                <w:rFonts w:ascii="Calibri" w:hAnsi="Calibri" w:eastAsia="Calibri" w:cs="Calibri"/>
                <w:sz w:val="22"/>
              </w:rPr>
              <w:t xml:space="preserve">year on year progress </w:t>
            </w:r>
            <w:r>
              <w:rPr>
                <w:rFonts w:ascii="Calibri" w:hAnsi="Calibri" w:eastAsia="Calibri" w:cs="Calibri"/>
                <w:sz w:val="22"/>
              </w:rPr>
              <w:t xml:space="preserve">gap of 0.5% between </w:t>
            </w:r>
            <w:r w:rsidR="00E170C5">
              <w:rPr>
                <w:rFonts w:ascii="Calibri" w:hAnsi="Calibri" w:eastAsia="Calibri" w:cs="Calibri"/>
                <w:sz w:val="22"/>
              </w:rPr>
              <w:t>PP and non PP.</w:t>
            </w:r>
          </w:p>
          <w:p w:rsidR="00E170C5" w:rsidP="00872CDE" w:rsidRDefault="00E170C5" w14:paraId="7627A40B" w14:textId="0ED1CF3D">
            <w:pPr>
              <w:spacing w:after="0"/>
              <w:jc w:val="both"/>
              <w:rPr>
                <w:rFonts w:ascii="Calibri" w:hAnsi="Calibri" w:eastAsia="Calibri" w:cs="Calibri"/>
                <w:sz w:val="22"/>
              </w:rPr>
            </w:pPr>
            <w:r w:rsidRPr="00CE54B4">
              <w:rPr>
                <w:rFonts w:ascii="Calibri" w:hAnsi="Calibri" w:eastAsia="Calibri" w:cs="Calibri"/>
                <w:sz w:val="22"/>
              </w:rPr>
              <w:t xml:space="preserve">KS2 </w:t>
            </w:r>
            <w:r w:rsidRPr="00CE54B4" w:rsidR="00433E9F">
              <w:rPr>
                <w:rFonts w:ascii="Calibri" w:hAnsi="Calibri" w:eastAsia="Calibri" w:cs="Calibri"/>
                <w:sz w:val="22"/>
              </w:rPr>
              <w:t xml:space="preserve">Average </w:t>
            </w:r>
            <w:r w:rsidRPr="00CE54B4" w:rsidR="00CE54B4">
              <w:rPr>
                <w:rFonts w:ascii="Calibri" w:hAnsi="Calibri" w:eastAsia="Calibri" w:cs="Calibri"/>
                <w:sz w:val="22"/>
              </w:rPr>
              <w:t>Progress Score</w:t>
            </w:r>
            <w:r w:rsidRPr="00CE54B4">
              <w:rPr>
                <w:rFonts w:ascii="Calibri" w:hAnsi="Calibri" w:eastAsia="Calibri" w:cs="Calibri"/>
                <w:sz w:val="22"/>
              </w:rPr>
              <w:t xml:space="preserve"> </w:t>
            </w:r>
          </w:p>
          <w:p w:rsidR="00CE54B4" w:rsidP="00872CDE" w:rsidRDefault="00CE54B4" w14:paraId="7253D4EE" w14:textId="37D8F391">
            <w:pPr>
              <w:spacing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Reading        </w:t>
            </w:r>
            <w:r w:rsidR="0020081F">
              <w:rPr>
                <w:rFonts w:ascii="Calibri" w:hAnsi="Calibri" w:eastAsia="Calibri" w:cs="Calibri"/>
                <w:sz w:val="22"/>
              </w:rPr>
              <w:t>PP          Non PP</w:t>
            </w:r>
          </w:p>
          <w:p w:rsidR="0020081F" w:rsidP="00872CDE" w:rsidRDefault="0020081F" w14:paraId="6A4969EA" w14:textId="5A1D081D">
            <w:pPr>
              <w:spacing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                      </w:t>
            </w:r>
            <w:r w:rsidR="00DF2FCA">
              <w:rPr>
                <w:rFonts w:ascii="Calibri" w:hAnsi="Calibri" w:eastAsia="Calibri" w:cs="Calibri"/>
                <w:sz w:val="22"/>
              </w:rPr>
              <w:t>+0.88     -2.34</w:t>
            </w:r>
          </w:p>
          <w:p w:rsidRPr="00CE54B4" w:rsidR="0020081F" w:rsidP="00872CDE" w:rsidRDefault="0020081F" w14:paraId="1B958327" w14:textId="7A9F562C">
            <w:pPr>
              <w:spacing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Writing         PP          Non PP</w:t>
            </w:r>
          </w:p>
          <w:p w:rsidR="00CE54B4" w:rsidP="00872CDE" w:rsidRDefault="00DF2FCA" w14:paraId="29564358" w14:textId="5CD4A882">
            <w:pPr>
              <w:spacing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                      +1.49     </w:t>
            </w:r>
            <w:r w:rsidR="00EA11A4">
              <w:rPr>
                <w:rFonts w:ascii="Calibri" w:hAnsi="Calibri" w:eastAsia="Calibri" w:cs="Calibri"/>
                <w:sz w:val="22"/>
              </w:rPr>
              <w:t>-0.94</w:t>
            </w:r>
          </w:p>
          <w:p w:rsidR="00EA11A4" w:rsidP="00872CDE" w:rsidRDefault="00EA11A4" w14:paraId="7DE09192" w14:textId="0AD7A0AA">
            <w:pPr>
              <w:spacing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Maths           PP          Non PP</w:t>
            </w:r>
          </w:p>
          <w:p w:rsidR="00AC73A8" w:rsidP="00872CDE" w:rsidRDefault="00EA11A4" w14:paraId="22777B1E" w14:textId="76F4C5B9">
            <w:pPr>
              <w:spacing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                      -0</w:t>
            </w:r>
            <w:r w:rsidR="003F6794">
              <w:rPr>
                <w:rFonts w:ascii="Calibri" w:hAnsi="Calibri" w:eastAsia="Calibri" w:cs="Calibri"/>
                <w:sz w:val="22"/>
              </w:rPr>
              <w:t>.94      -4.06</w:t>
            </w:r>
          </w:p>
        </w:tc>
      </w:tr>
      <w:tr w:rsidR="00FE0CB0" w:rsidTr="00FE0CB0" w14:paraId="332C5FC1" w14:textId="5CBAF6A7">
        <w:trPr>
          <w:trHeight w:val="1082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0CB0" w:rsidRDefault="00FE0CB0" w14:paraId="1E6E7576" w14:textId="77777777">
            <w:pPr>
              <w:spacing w:after="0"/>
              <w:ind w:left="58" w:right="258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Most Pupil Premium pupils to achieve the  same, if not better attainment within Maths,  Writing and Reading compared to non PP  pupils 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E5079D" w:rsidRDefault="00FE0CB0" w14:paraId="0E9CDF3A" w14:textId="116B3840">
            <w:pPr>
              <w:spacing w:after="0"/>
            </w:pPr>
            <w:r>
              <w:rPr>
                <w:rFonts w:ascii="Calibri" w:hAnsi="Calibri" w:eastAsia="Calibri" w:cs="Calibri"/>
                <w:sz w:val="22"/>
              </w:rPr>
              <w:t xml:space="preserve">Attainment measures on Arbor indicate same or  better attainment seen in PP children 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5079D" w:rsidP="00872CDE" w:rsidRDefault="00E5079D" w14:paraId="32453F61" w14:textId="63472476">
            <w:pPr>
              <w:spacing w:after="0"/>
              <w:rPr>
                <w:rFonts w:ascii="Calibri" w:hAnsi="Calibri" w:eastAsia="Calibri" w:cs="Calibri"/>
                <w:sz w:val="22"/>
                <w:u w:val="single"/>
              </w:rPr>
            </w:pPr>
            <w:r>
              <w:rPr>
                <w:rFonts w:ascii="Calibri" w:hAnsi="Calibri" w:eastAsia="Calibri" w:cs="Calibri"/>
                <w:sz w:val="22"/>
                <w:u w:val="single"/>
              </w:rPr>
              <w:t>EYFS</w:t>
            </w:r>
          </w:p>
          <w:p w:rsidRPr="00AC5DDF" w:rsidR="00E5079D" w:rsidP="00872CDE" w:rsidRDefault="00E5079D" w14:paraId="4F46F580" w14:textId="2894259D">
            <w:pPr>
              <w:spacing w:after="0"/>
              <w:rPr>
                <w:rFonts w:ascii="Calibri" w:hAnsi="Calibri" w:eastAsia="Calibri" w:cs="Calibri"/>
                <w:i/>
                <w:iCs/>
                <w:sz w:val="22"/>
              </w:rPr>
            </w:pPr>
            <w:r w:rsidRPr="00AC5DDF">
              <w:rPr>
                <w:rFonts w:ascii="Calibri" w:hAnsi="Calibri" w:eastAsia="Calibri" w:cs="Calibri"/>
                <w:i/>
                <w:iCs/>
                <w:sz w:val="22"/>
              </w:rPr>
              <w:t>Good Level of Development</w:t>
            </w:r>
          </w:p>
          <w:p w:rsidRPr="00E5079D" w:rsidR="00E5079D" w:rsidP="00872CDE" w:rsidRDefault="00E5079D" w14:paraId="55E0CF41" w14:textId="1A1AFBEC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PP                            Non PP</w:t>
            </w:r>
          </w:p>
          <w:p w:rsidR="00E5079D" w:rsidP="00872CDE" w:rsidRDefault="00E5079D" w14:paraId="6E04BD19" w14:textId="77777777">
            <w:pPr>
              <w:spacing w:after="0"/>
              <w:rPr>
                <w:rFonts w:ascii="Calibri" w:hAnsi="Calibri" w:eastAsia="Calibri" w:cs="Calibri"/>
                <w:sz w:val="22"/>
              </w:rPr>
            </w:pPr>
            <w:r w:rsidRPr="00E5079D">
              <w:rPr>
                <w:rFonts w:ascii="Calibri" w:hAnsi="Calibri" w:eastAsia="Calibri" w:cs="Calibri"/>
                <w:sz w:val="22"/>
              </w:rPr>
              <w:t>80%</w:t>
            </w:r>
            <w:r>
              <w:rPr>
                <w:rFonts w:ascii="Calibri" w:hAnsi="Calibri" w:eastAsia="Calibri" w:cs="Calibri"/>
                <w:sz w:val="22"/>
              </w:rPr>
              <w:t xml:space="preserve">                         </w:t>
            </w:r>
            <w:r w:rsidR="009B0BF6">
              <w:rPr>
                <w:rFonts w:ascii="Calibri" w:hAnsi="Calibri" w:eastAsia="Calibri" w:cs="Calibri"/>
                <w:sz w:val="22"/>
              </w:rPr>
              <w:t>66.7%</w:t>
            </w:r>
          </w:p>
          <w:p w:rsidR="009B0BF6" w:rsidP="00872CDE" w:rsidRDefault="009B0BF6" w14:paraId="45302305" w14:textId="77777777">
            <w:pPr>
              <w:spacing w:after="0"/>
              <w:rPr>
                <w:rFonts w:ascii="Calibri" w:hAnsi="Calibri" w:eastAsia="Calibri" w:cs="Calibri"/>
                <w:sz w:val="22"/>
                <w:u w:val="single"/>
              </w:rPr>
            </w:pPr>
            <w:r w:rsidRPr="009B0BF6">
              <w:rPr>
                <w:rFonts w:ascii="Calibri" w:hAnsi="Calibri" w:eastAsia="Calibri" w:cs="Calibri"/>
                <w:sz w:val="22"/>
                <w:u w:val="single"/>
              </w:rPr>
              <w:t>KS1</w:t>
            </w:r>
          </w:p>
          <w:p w:rsidRPr="00AC5DDF" w:rsidR="009B0BF6" w:rsidP="00872CDE" w:rsidRDefault="009B0BF6" w14:paraId="0CA40FEB" w14:textId="77777777">
            <w:pPr>
              <w:spacing w:after="0"/>
              <w:rPr>
                <w:rFonts w:ascii="Calibri" w:hAnsi="Calibri" w:eastAsia="Calibri" w:cs="Calibri"/>
                <w:i/>
                <w:iCs/>
                <w:sz w:val="22"/>
              </w:rPr>
            </w:pPr>
            <w:r w:rsidRPr="00AC5DDF">
              <w:rPr>
                <w:rFonts w:ascii="Calibri" w:hAnsi="Calibri" w:eastAsia="Calibri" w:cs="Calibri"/>
                <w:i/>
                <w:iCs/>
                <w:sz w:val="22"/>
              </w:rPr>
              <w:t>Reading, Writing and Maths at expected standard</w:t>
            </w:r>
          </w:p>
          <w:p w:rsidR="009B0BF6" w:rsidP="00872CDE" w:rsidRDefault="009B0BF6" w14:paraId="2364E65B" w14:textId="77777777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PP                            Non PP</w:t>
            </w:r>
          </w:p>
          <w:p w:rsidR="009B0BF6" w:rsidP="00872CDE" w:rsidRDefault="009B0BF6" w14:paraId="233465BF" w14:textId="77777777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57.1%                      72.7%</w:t>
            </w:r>
          </w:p>
          <w:p w:rsidR="009B0BF6" w:rsidP="00872CDE" w:rsidRDefault="009B0BF6" w14:paraId="533E6A69" w14:textId="77777777">
            <w:pPr>
              <w:spacing w:after="0"/>
              <w:rPr>
                <w:rFonts w:ascii="Calibri" w:hAnsi="Calibri" w:eastAsia="Calibri" w:cs="Calibri"/>
                <w:sz w:val="22"/>
                <w:u w:val="single"/>
              </w:rPr>
            </w:pPr>
            <w:r w:rsidRPr="009B0BF6">
              <w:rPr>
                <w:rFonts w:ascii="Calibri" w:hAnsi="Calibri" w:eastAsia="Calibri" w:cs="Calibri"/>
                <w:sz w:val="22"/>
                <w:u w:val="single"/>
              </w:rPr>
              <w:t>KS2</w:t>
            </w:r>
          </w:p>
          <w:p w:rsidRPr="00533530" w:rsidR="00AC5DDF" w:rsidP="00872CDE" w:rsidRDefault="00533530" w14:paraId="37C73352" w14:textId="32576950">
            <w:pPr>
              <w:spacing w:after="0"/>
              <w:rPr>
                <w:rFonts w:ascii="Calibri" w:hAnsi="Calibri" w:eastAsia="Calibri" w:cs="Calibri"/>
                <w:i/>
                <w:iCs/>
                <w:sz w:val="22"/>
              </w:rPr>
            </w:pPr>
            <w:r w:rsidRPr="00AC5DDF">
              <w:rPr>
                <w:rFonts w:ascii="Calibri" w:hAnsi="Calibri" w:eastAsia="Calibri" w:cs="Calibri"/>
                <w:i/>
                <w:iCs/>
                <w:sz w:val="22"/>
              </w:rPr>
              <w:t>Reading, Writing and Maths at expected standard</w:t>
            </w:r>
          </w:p>
          <w:p w:rsidR="009B0BF6" w:rsidP="00872CDE" w:rsidRDefault="009B0BF6" w14:paraId="3658AD2B" w14:textId="77777777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PP                            Non PP</w:t>
            </w:r>
          </w:p>
          <w:p w:rsidR="009B0BF6" w:rsidP="00872CDE" w:rsidRDefault="006C76B6" w14:paraId="01334D30" w14:textId="77777777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50</w:t>
            </w:r>
            <w:r w:rsidR="00E4516C">
              <w:rPr>
                <w:rFonts w:ascii="Calibri" w:hAnsi="Calibri" w:eastAsia="Calibri" w:cs="Calibri"/>
                <w:sz w:val="22"/>
              </w:rPr>
              <w:t xml:space="preserve">%                        </w:t>
            </w:r>
            <w:r w:rsidR="006163DD">
              <w:rPr>
                <w:rFonts w:ascii="Calibri" w:hAnsi="Calibri" w:eastAsia="Calibri" w:cs="Calibri"/>
                <w:sz w:val="22"/>
              </w:rPr>
              <w:t>66.7%</w:t>
            </w:r>
          </w:p>
          <w:p w:rsidRPr="009B0BF6" w:rsidR="00582DCF" w:rsidP="00872CDE" w:rsidRDefault="00582DCF" w14:paraId="0B954CD2" w14:textId="59BA9879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At EYFS, </w:t>
            </w:r>
            <w:r w:rsidR="001E6DBC">
              <w:rPr>
                <w:rFonts w:ascii="Calibri" w:hAnsi="Calibri" w:eastAsia="Calibri" w:cs="Calibri"/>
                <w:sz w:val="22"/>
              </w:rPr>
              <w:t xml:space="preserve">more </w:t>
            </w:r>
            <w:r w:rsidR="005A1DB5">
              <w:rPr>
                <w:rFonts w:ascii="Calibri" w:hAnsi="Calibri" w:eastAsia="Calibri" w:cs="Calibri"/>
                <w:sz w:val="22"/>
              </w:rPr>
              <w:t>P</w:t>
            </w:r>
            <w:r>
              <w:rPr>
                <w:rFonts w:ascii="Calibri" w:hAnsi="Calibri" w:eastAsia="Calibri" w:cs="Calibri"/>
                <w:sz w:val="22"/>
              </w:rPr>
              <w:t xml:space="preserve">upil </w:t>
            </w:r>
            <w:r w:rsidR="005A1DB5">
              <w:rPr>
                <w:rFonts w:ascii="Calibri" w:hAnsi="Calibri" w:eastAsia="Calibri" w:cs="Calibri"/>
                <w:sz w:val="22"/>
              </w:rPr>
              <w:t>P</w:t>
            </w:r>
            <w:r>
              <w:rPr>
                <w:rFonts w:ascii="Calibri" w:hAnsi="Calibri" w:eastAsia="Calibri" w:cs="Calibri"/>
                <w:sz w:val="22"/>
              </w:rPr>
              <w:t>remium</w:t>
            </w:r>
            <w:r w:rsidR="001E6DBC">
              <w:rPr>
                <w:rFonts w:ascii="Calibri" w:hAnsi="Calibri" w:eastAsia="Calibri" w:cs="Calibri"/>
                <w:sz w:val="22"/>
              </w:rPr>
              <w:t xml:space="preserve"> pupils achieved a </w:t>
            </w:r>
            <w:r w:rsidR="009D64CB">
              <w:rPr>
                <w:rFonts w:ascii="Calibri" w:hAnsi="Calibri" w:eastAsia="Calibri" w:cs="Calibri"/>
                <w:sz w:val="22"/>
              </w:rPr>
              <w:t xml:space="preserve">Good Level of Development. Significant </w:t>
            </w:r>
            <w:r w:rsidR="00E964FC">
              <w:rPr>
                <w:rFonts w:ascii="Calibri" w:hAnsi="Calibri" w:eastAsia="Calibri" w:cs="Calibri"/>
                <w:sz w:val="22"/>
              </w:rPr>
              <w:t xml:space="preserve">gaps remain between disadvantaged and non-disadvantaged pupils at both KS1 and KS2.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</w:tr>
      <w:tr w:rsidR="00FE0CB0" w:rsidTr="00FE0CB0" w14:paraId="18540C40" w14:textId="79B0DA32">
        <w:trPr>
          <w:trHeight w:val="937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0CB0" w:rsidRDefault="00FE0CB0" w14:paraId="486244FB" w14:textId="77777777">
            <w:pPr>
              <w:spacing w:after="0"/>
              <w:ind w:left="58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Improved attendance figures for PP children. Ideally in line with average attendance figures for non-PP children 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0CB0" w:rsidRDefault="00FE0CB0" w14:paraId="7CFD312A" w14:textId="77777777">
            <w:pPr>
              <w:spacing w:after="0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Pupils attendance increases across the year and they become more punctual – monitored using Arbor. 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5079D" w:rsidP="00FE2749" w:rsidRDefault="00E5079D" w14:paraId="02602DEE" w14:textId="36D9783F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Attendance of PP pupils has gone down compared to last year and the gap is greater than national. Overall, attendance is also falling against national.</w:t>
            </w:r>
          </w:p>
          <w:p w:rsidR="00FE2749" w:rsidP="00FE2749" w:rsidRDefault="00FE2749" w14:paraId="57FE79FA" w14:textId="4B9EE5F4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Patterns of poor attendance identified</w:t>
            </w:r>
            <w:r w:rsidR="009B0BF6">
              <w:rPr>
                <w:rFonts w:ascii="Calibri" w:hAnsi="Calibri" w:eastAsia="Calibri" w:cs="Calibri"/>
                <w:sz w:val="22"/>
              </w:rPr>
              <w:t xml:space="preserve">, </w:t>
            </w:r>
            <w:r>
              <w:rPr>
                <w:rFonts w:ascii="Calibri" w:hAnsi="Calibri" w:eastAsia="Calibri" w:cs="Calibri"/>
                <w:sz w:val="22"/>
              </w:rPr>
              <w:t xml:space="preserve">and meetings held with </w:t>
            </w:r>
            <w:r>
              <w:rPr>
                <w:rFonts w:ascii="Calibri" w:hAnsi="Calibri" w:eastAsia="Calibri" w:cs="Calibri"/>
                <w:sz w:val="22"/>
              </w:rPr>
              <w:lastRenderedPageBreak/>
              <w:t xml:space="preserve">parents/carers from September 2023. </w:t>
            </w:r>
          </w:p>
          <w:p w:rsidR="00FE0CB0" w:rsidP="00872CDE" w:rsidRDefault="00FE2749" w14:paraId="10AF9C10" w14:textId="3ECEBB48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Regular attendance meetings held with Sandwell Attendance to tackle absence from September 2023. </w:t>
            </w:r>
          </w:p>
        </w:tc>
      </w:tr>
      <w:tr w:rsidR="00FE0CB0" w:rsidTr="00FE0CB0" w14:paraId="7ED17C46" w14:textId="3C02DADE">
        <w:trPr>
          <w:trHeight w:val="1925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0CB0" w:rsidRDefault="00FE0CB0" w14:paraId="6B66AD9E" w14:textId="77777777">
            <w:pPr>
              <w:spacing w:after="0"/>
              <w:ind w:left="58"/>
              <w:jc w:val="both"/>
            </w:pPr>
            <w:r>
              <w:rPr>
                <w:rFonts w:ascii="Calibri" w:hAnsi="Calibri" w:eastAsia="Calibri" w:cs="Calibri"/>
                <w:sz w:val="22"/>
              </w:rPr>
              <w:lastRenderedPageBreak/>
              <w:t xml:space="preserve">PP children have increased access to wider opportunities (trips, visits and experiences) and chances to broaden their horizons. 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2749" w:rsidRDefault="00FE0CB0" w14:paraId="5D1F7358" w14:textId="77777777">
            <w:pPr>
              <w:suppressAutoHyphens w:val="0"/>
              <w:spacing w:after="0" w:line="259" w:lineRule="auto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A broader diet of after-school provision </w:t>
            </w:r>
          </w:p>
          <w:p w:rsidR="00FE0CB0" w:rsidP="00FE2749" w:rsidRDefault="00FE0CB0" w14:paraId="1A98D502" w14:textId="77777777">
            <w:pPr>
              <w:suppressAutoHyphens w:val="0"/>
              <w:spacing w:after="46" w:line="240" w:lineRule="auto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Access to school trips, outings and experiences which broaden the experiences of targeted children  </w:t>
            </w:r>
          </w:p>
          <w:p w:rsidR="00FE0CB0" w:rsidP="00FE2749" w:rsidRDefault="00FE0CB0" w14:paraId="74305FA0" w14:textId="77777777">
            <w:pPr>
              <w:suppressAutoHyphens w:val="0"/>
              <w:spacing w:after="0" w:line="259" w:lineRule="auto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Pupil voice which highlights greater confidence and ambition following on from these trips and experiences  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2749" w:rsidRDefault="00FE2749" w14:paraId="5493544F" w14:textId="4FC86FD0">
            <w:pPr>
              <w:suppressAutoHyphens w:val="0"/>
              <w:spacing w:after="0" w:line="259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All pupils, including recipients of Pupil Premium, provided with the opportunity to attend school trips. School ensured that all pupils whose parents/carers wished them to attend the Year 6 residential were able to do so with funding used where necessary. </w:t>
            </w:r>
          </w:p>
        </w:tc>
      </w:tr>
      <w:tr w:rsidR="00FE0CB0" w:rsidTr="00FE0CB0" w14:paraId="76873529" w14:textId="3316367D">
        <w:trPr>
          <w:trHeight w:val="1892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0CB0" w:rsidRDefault="00FE0CB0" w14:paraId="45999313" w14:textId="77777777">
            <w:pPr>
              <w:spacing w:after="0"/>
              <w:ind w:right="10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Wellbeing and security of PP children increased and children are able to focus fully on learning with minimal barriers linked to issues related to safeguarding and wellbeing.  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E0CB0" w:rsidP="00FE0CB0" w:rsidRDefault="00FE0CB0" w14:paraId="2FAC0D4E" w14:textId="1B8080A7">
            <w:pPr>
              <w:spacing w:after="0"/>
              <w:jc w:val="both"/>
            </w:pPr>
            <w:r>
              <w:rPr>
                <w:rFonts w:ascii="Calibri" w:hAnsi="Calibri" w:eastAsia="Calibri" w:cs="Calibri"/>
                <w:sz w:val="22"/>
              </w:rPr>
              <w:t xml:space="preserve">Specific work on SEMH and wellbeing will ensure that attendance, wellbeing, </w:t>
            </w:r>
            <w:r w:rsidR="00911B36">
              <w:rPr>
                <w:rFonts w:ascii="Calibri" w:hAnsi="Calibri" w:eastAsia="Calibri" w:cs="Calibri"/>
                <w:sz w:val="22"/>
              </w:rPr>
              <w:t>socio-</w:t>
            </w:r>
            <w:r>
              <w:rPr>
                <w:rFonts w:ascii="Calibri" w:hAnsi="Calibri" w:eastAsia="Calibri" w:cs="Calibri"/>
                <w:sz w:val="22"/>
              </w:rPr>
              <w:t xml:space="preserve">economic and other barriers to learning are recognised, targeted and overcome. This will be evident in pupil/parent voice, outcomes and school’s ability to communicate how it has supported PP children in need 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11B36" w:rsidP="00872CDE" w:rsidRDefault="00911B36" w14:paraId="70806EF8" w14:textId="77777777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School Council re-launched September 2023. </w:t>
            </w:r>
          </w:p>
          <w:p w:rsidR="00911B36" w:rsidP="00872CDE" w:rsidRDefault="00911B36" w14:paraId="661650F9" w14:textId="333E013F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Patterns of poor attendance identified</w:t>
            </w:r>
            <w:r w:rsidR="00FE2749">
              <w:rPr>
                <w:rFonts w:ascii="Calibri" w:hAnsi="Calibri" w:eastAsia="Calibri" w:cs="Calibri"/>
                <w:sz w:val="22"/>
              </w:rPr>
              <w:t>,</w:t>
            </w:r>
            <w:r>
              <w:rPr>
                <w:rFonts w:ascii="Calibri" w:hAnsi="Calibri" w:eastAsia="Calibri" w:cs="Calibri"/>
                <w:sz w:val="22"/>
              </w:rPr>
              <w:t xml:space="preserve"> and meetings held with parents/carers from September 2023. </w:t>
            </w:r>
          </w:p>
          <w:p w:rsidR="00FE2749" w:rsidP="00872CDE" w:rsidRDefault="00FE2749" w14:paraId="00E6108D" w14:textId="6E543559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Funds used to purchase school uniform and other items. </w:t>
            </w:r>
          </w:p>
          <w:p w:rsidR="00911B36" w:rsidP="00872CDE" w:rsidRDefault="00911B36" w14:paraId="70C5C920" w14:textId="77777777">
            <w:pPr>
              <w:spacing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Regular attendance meetings held with Sandwell Attendance to tackle absence from September 2023. </w:t>
            </w:r>
          </w:p>
          <w:p w:rsidR="00FE2749" w:rsidP="00872CDE" w:rsidRDefault="00FE2749" w14:paraId="76352070" w14:textId="26A79FB6">
            <w:pPr>
              <w:spacing w:after="0"/>
              <w:rPr>
                <w:rFonts w:ascii="Calibri" w:hAnsi="Calibri" w:eastAsia="Calibri" w:cs="Calibri"/>
                <w:sz w:val="22"/>
              </w:rPr>
            </w:pPr>
          </w:p>
        </w:tc>
      </w:tr>
    </w:tbl>
    <w:p w:rsidRPr="00FE0CB0" w:rsidR="00FE0CB0" w:rsidP="00FE0CB0" w:rsidRDefault="00FE0CB0" w14:paraId="1C162E29" w14:textId="77777777"/>
    <w:p w:rsidR="00E66558" w:rsidRDefault="009D71E8" w14:paraId="2A7D5560" w14:textId="77777777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A355B" w:rsidR="00E66558" w:rsidRDefault="009D71E8" w14:paraId="2A7D5562" w14:textId="792AC079">
            <w:pPr>
              <w:spacing w:before="120" w:after="12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Use this space to provide any further information about your pupil premium strategy. For example, about </w:t>
            </w:r>
            <w:r w:rsidR="00BE44AC">
              <w:rPr>
                <w:rFonts w:cs="Arial"/>
                <w:i/>
                <w:iCs/>
              </w:rPr>
              <w:t xml:space="preserve">your </w:t>
            </w:r>
            <w:r>
              <w:rPr>
                <w:rFonts w:cs="Arial"/>
                <w:i/>
                <w:iCs/>
              </w:rPr>
              <w:t>strategy planning</w:t>
            </w:r>
            <w:r w:rsidR="00F15753">
              <w:rPr>
                <w:rFonts w:cs="Arial"/>
                <w:i/>
                <w:iCs/>
              </w:rPr>
              <w:t>, implementation</w:t>
            </w:r>
            <w:r w:rsidR="00BE44AC">
              <w:rPr>
                <w:rFonts w:cs="Arial"/>
                <w:i/>
                <w:iCs/>
              </w:rPr>
              <w:t xml:space="preserve"> and evaluation,</w:t>
            </w:r>
            <w:r>
              <w:rPr>
                <w:rFonts w:cs="Arial"/>
                <w:i/>
                <w:iCs/>
              </w:rPr>
              <w:t xml:space="preserve"> or other activity that you are</w:t>
            </w:r>
            <w:r w:rsidR="00F15753">
              <w:rPr>
                <w:rFonts w:cs="Arial"/>
                <w:i/>
                <w:iCs/>
              </w:rPr>
              <w:t xml:space="preserve"> deliver</w:t>
            </w:r>
            <w:r>
              <w:rPr>
                <w:rFonts w:cs="Arial"/>
                <w:i/>
                <w:iCs/>
              </w:rPr>
              <w:t>ing to support disadvantaged pupils, that is not dependent on pupil premium or recovery premium funding.</w:t>
            </w:r>
          </w:p>
        </w:tc>
      </w:tr>
      <w:bookmarkEnd w:id="14"/>
      <w:bookmarkEnd w:id="15"/>
      <w:bookmarkEnd w:id="16"/>
    </w:tbl>
    <w:p w:rsidR="00E66558" w:rsidRDefault="00E66558" w14:paraId="2A7D5564" w14:textId="77777777"/>
    <w:sectPr w:rsidR="00E66558">
      <w:headerReference w:type="default" r:id="rId7"/>
      <w:footerReference w:type="default" r:id="rId8"/>
      <w:pgSz w:w="11906" w:h="16838" w:orient="portrait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518" w:rsidRDefault="00283518" w14:paraId="04768A3C" w14:textId="77777777">
      <w:pPr>
        <w:spacing w:after="0" w:line="240" w:lineRule="auto"/>
      </w:pPr>
      <w:r>
        <w:separator/>
      </w:r>
    </w:p>
  </w:endnote>
  <w:endnote w:type="continuationSeparator" w:id="0">
    <w:p w:rsidR="00283518" w:rsidRDefault="00283518" w14:paraId="22C0524C" w14:textId="77777777">
      <w:pPr>
        <w:spacing w:after="0" w:line="240" w:lineRule="auto"/>
      </w:pPr>
      <w:r>
        <w:continuationSeparator/>
      </w:r>
    </w:p>
  </w:endnote>
  <w:endnote w:type="continuationNotice" w:id="1">
    <w:p w:rsidR="00283518" w:rsidRDefault="00283518" w14:paraId="7C1ABF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3EA" w:rsidRDefault="009D71E8" w14:paraId="2A7D54BE" w14:textId="77777777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518" w:rsidRDefault="00283518" w14:paraId="092290D9" w14:textId="77777777">
      <w:pPr>
        <w:spacing w:after="0" w:line="240" w:lineRule="auto"/>
      </w:pPr>
      <w:r>
        <w:separator/>
      </w:r>
    </w:p>
  </w:footnote>
  <w:footnote w:type="continuationSeparator" w:id="0">
    <w:p w:rsidR="00283518" w:rsidRDefault="00283518" w14:paraId="50EA34A3" w14:textId="77777777">
      <w:pPr>
        <w:spacing w:after="0" w:line="240" w:lineRule="auto"/>
      </w:pPr>
      <w:r>
        <w:continuationSeparator/>
      </w:r>
    </w:p>
  </w:footnote>
  <w:footnote w:type="continuationNotice" w:id="1">
    <w:p w:rsidR="00283518" w:rsidRDefault="00283518" w14:paraId="3F7B467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3EA" w:rsidRDefault="00C373EA" w14:paraId="2A7D54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e5052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374333E"/>
    <w:multiLevelType w:val="hybridMultilevel"/>
    <w:tmpl w:val="446EA630"/>
    <w:lvl w:ilvl="0" w:tplc="E9841422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41AAA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EEAD2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4F86A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F58CB24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30E40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FB453C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B3EA10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B5E484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2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3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6">
    <w:abstractNumId w:val="15"/>
  </w:num>
  <w:num w:numId="1" w16cid:durableId="94711259">
    <w:abstractNumId w:val="3"/>
  </w:num>
  <w:num w:numId="2" w16cid:durableId="1628730595">
    <w:abstractNumId w:val="1"/>
  </w:num>
  <w:num w:numId="3" w16cid:durableId="497188144">
    <w:abstractNumId w:val="4"/>
  </w:num>
  <w:num w:numId="4" w16cid:durableId="1138914232">
    <w:abstractNumId w:val="5"/>
  </w:num>
  <w:num w:numId="5" w16cid:durableId="857932188">
    <w:abstractNumId w:val="0"/>
  </w:num>
  <w:num w:numId="6" w16cid:durableId="798501009">
    <w:abstractNumId w:val="7"/>
  </w:num>
  <w:num w:numId="7" w16cid:durableId="1210847263">
    <w:abstractNumId w:val="10"/>
  </w:num>
  <w:num w:numId="8" w16cid:durableId="982348153">
    <w:abstractNumId w:val="14"/>
  </w:num>
  <w:num w:numId="9" w16cid:durableId="1529290868">
    <w:abstractNumId w:val="12"/>
  </w:num>
  <w:num w:numId="10" w16cid:durableId="1171066271">
    <w:abstractNumId w:val="11"/>
  </w:num>
  <w:num w:numId="11" w16cid:durableId="1453552857">
    <w:abstractNumId w:val="2"/>
  </w:num>
  <w:num w:numId="12" w16cid:durableId="1812097430">
    <w:abstractNumId w:val="13"/>
  </w:num>
  <w:num w:numId="13" w16cid:durableId="42288650">
    <w:abstractNumId w:val="9"/>
  </w:num>
  <w:num w:numId="14" w16cid:durableId="1721712531">
    <w:abstractNumId w:val="8"/>
  </w:num>
  <w:num w:numId="15" w16cid:durableId="1032221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23729"/>
    <w:rsid w:val="000243B4"/>
    <w:rsid w:val="0002530E"/>
    <w:rsid w:val="0002710D"/>
    <w:rsid w:val="00036678"/>
    <w:rsid w:val="000452EB"/>
    <w:rsid w:val="00045603"/>
    <w:rsid w:val="000463AE"/>
    <w:rsid w:val="000507A3"/>
    <w:rsid w:val="00060A62"/>
    <w:rsid w:val="00064366"/>
    <w:rsid w:val="00066B73"/>
    <w:rsid w:val="00071481"/>
    <w:rsid w:val="00075FAE"/>
    <w:rsid w:val="00082F38"/>
    <w:rsid w:val="000837DB"/>
    <w:rsid w:val="0008384B"/>
    <w:rsid w:val="000929EC"/>
    <w:rsid w:val="00093CDE"/>
    <w:rsid w:val="000A5C58"/>
    <w:rsid w:val="000A6379"/>
    <w:rsid w:val="000B0D49"/>
    <w:rsid w:val="000B203E"/>
    <w:rsid w:val="000D22B0"/>
    <w:rsid w:val="000D35C9"/>
    <w:rsid w:val="000D520C"/>
    <w:rsid w:val="000D6596"/>
    <w:rsid w:val="000D6779"/>
    <w:rsid w:val="000E6DF0"/>
    <w:rsid w:val="001037CB"/>
    <w:rsid w:val="0010629E"/>
    <w:rsid w:val="00114288"/>
    <w:rsid w:val="00115538"/>
    <w:rsid w:val="00116FA8"/>
    <w:rsid w:val="00120AB1"/>
    <w:rsid w:val="00123A7F"/>
    <w:rsid w:val="001278D0"/>
    <w:rsid w:val="00127F72"/>
    <w:rsid w:val="00140646"/>
    <w:rsid w:val="00147A4B"/>
    <w:rsid w:val="00152554"/>
    <w:rsid w:val="00155944"/>
    <w:rsid w:val="001559D7"/>
    <w:rsid w:val="0016523C"/>
    <w:rsid w:val="001671ED"/>
    <w:rsid w:val="00170714"/>
    <w:rsid w:val="0017264D"/>
    <w:rsid w:val="001727FA"/>
    <w:rsid w:val="00172B0F"/>
    <w:rsid w:val="00173D4C"/>
    <w:rsid w:val="001759B6"/>
    <w:rsid w:val="001761E3"/>
    <w:rsid w:val="00181A7E"/>
    <w:rsid w:val="00182FD8"/>
    <w:rsid w:val="00183218"/>
    <w:rsid w:val="00184079"/>
    <w:rsid w:val="00185988"/>
    <w:rsid w:val="00186666"/>
    <w:rsid w:val="001873B6"/>
    <w:rsid w:val="001901E6"/>
    <w:rsid w:val="00191305"/>
    <w:rsid w:val="001948FB"/>
    <w:rsid w:val="00195B55"/>
    <w:rsid w:val="001A2FE8"/>
    <w:rsid w:val="001A33AC"/>
    <w:rsid w:val="001C1C51"/>
    <w:rsid w:val="001D4FC9"/>
    <w:rsid w:val="001E0ECA"/>
    <w:rsid w:val="001E206F"/>
    <w:rsid w:val="001E5750"/>
    <w:rsid w:val="001E66BA"/>
    <w:rsid w:val="001E6DBC"/>
    <w:rsid w:val="001E7739"/>
    <w:rsid w:val="001F3DB4"/>
    <w:rsid w:val="001F7564"/>
    <w:rsid w:val="0020081F"/>
    <w:rsid w:val="00203DB9"/>
    <w:rsid w:val="00204F40"/>
    <w:rsid w:val="00205DEF"/>
    <w:rsid w:val="002112C3"/>
    <w:rsid w:val="002131E5"/>
    <w:rsid w:val="00216C8A"/>
    <w:rsid w:val="00226317"/>
    <w:rsid w:val="00231539"/>
    <w:rsid w:val="00242093"/>
    <w:rsid w:val="00243F22"/>
    <w:rsid w:val="002523E3"/>
    <w:rsid w:val="00252AD6"/>
    <w:rsid w:val="002542CE"/>
    <w:rsid w:val="00257A4E"/>
    <w:rsid w:val="00266FA5"/>
    <w:rsid w:val="00276FBA"/>
    <w:rsid w:val="00277665"/>
    <w:rsid w:val="00283518"/>
    <w:rsid w:val="002837AE"/>
    <w:rsid w:val="002920F4"/>
    <w:rsid w:val="002940F3"/>
    <w:rsid w:val="00295842"/>
    <w:rsid w:val="002B3574"/>
    <w:rsid w:val="002B6B74"/>
    <w:rsid w:val="002C6AE7"/>
    <w:rsid w:val="002D2D4B"/>
    <w:rsid w:val="002D3805"/>
    <w:rsid w:val="002E66AE"/>
    <w:rsid w:val="002E7763"/>
    <w:rsid w:val="002E7CEF"/>
    <w:rsid w:val="002F4C6F"/>
    <w:rsid w:val="002F5011"/>
    <w:rsid w:val="002F5842"/>
    <w:rsid w:val="002F7847"/>
    <w:rsid w:val="00306CB7"/>
    <w:rsid w:val="003111F5"/>
    <w:rsid w:val="00317664"/>
    <w:rsid w:val="00336200"/>
    <w:rsid w:val="00337418"/>
    <w:rsid w:val="00351D83"/>
    <w:rsid w:val="00352197"/>
    <w:rsid w:val="00353E46"/>
    <w:rsid w:val="003576C4"/>
    <w:rsid w:val="0036277A"/>
    <w:rsid w:val="00366AB0"/>
    <w:rsid w:val="003700E8"/>
    <w:rsid w:val="0037437C"/>
    <w:rsid w:val="0038146B"/>
    <w:rsid w:val="0038340F"/>
    <w:rsid w:val="00384457"/>
    <w:rsid w:val="00384F24"/>
    <w:rsid w:val="003A32B2"/>
    <w:rsid w:val="003A47DD"/>
    <w:rsid w:val="003A5F67"/>
    <w:rsid w:val="003A634F"/>
    <w:rsid w:val="003B14C1"/>
    <w:rsid w:val="003B2884"/>
    <w:rsid w:val="003B588A"/>
    <w:rsid w:val="003B621D"/>
    <w:rsid w:val="003C4388"/>
    <w:rsid w:val="003C4C27"/>
    <w:rsid w:val="003C7F7B"/>
    <w:rsid w:val="003D0CD6"/>
    <w:rsid w:val="003D2EAA"/>
    <w:rsid w:val="003E054C"/>
    <w:rsid w:val="003E1EC5"/>
    <w:rsid w:val="003E27A0"/>
    <w:rsid w:val="003E3872"/>
    <w:rsid w:val="003F6794"/>
    <w:rsid w:val="004044AA"/>
    <w:rsid w:val="004044C8"/>
    <w:rsid w:val="00404F3F"/>
    <w:rsid w:val="0040ED62"/>
    <w:rsid w:val="00410B5D"/>
    <w:rsid w:val="00413BEC"/>
    <w:rsid w:val="0042265E"/>
    <w:rsid w:val="00424ED7"/>
    <w:rsid w:val="00425258"/>
    <w:rsid w:val="00426217"/>
    <w:rsid w:val="00431A80"/>
    <w:rsid w:val="00433E9F"/>
    <w:rsid w:val="00435A89"/>
    <w:rsid w:val="00452267"/>
    <w:rsid w:val="00453307"/>
    <w:rsid w:val="00455A02"/>
    <w:rsid w:val="00457E36"/>
    <w:rsid w:val="00460BD3"/>
    <w:rsid w:val="00462F8F"/>
    <w:rsid w:val="004708F2"/>
    <w:rsid w:val="004724DE"/>
    <w:rsid w:val="004770FE"/>
    <w:rsid w:val="0048157F"/>
    <w:rsid w:val="00481D56"/>
    <w:rsid w:val="00490408"/>
    <w:rsid w:val="004A4C45"/>
    <w:rsid w:val="004B0485"/>
    <w:rsid w:val="004B428E"/>
    <w:rsid w:val="004B4D0A"/>
    <w:rsid w:val="004B4D37"/>
    <w:rsid w:val="004C42F0"/>
    <w:rsid w:val="004D50C8"/>
    <w:rsid w:val="004D6B72"/>
    <w:rsid w:val="004E1D73"/>
    <w:rsid w:val="004E72DD"/>
    <w:rsid w:val="005025FB"/>
    <w:rsid w:val="00503462"/>
    <w:rsid w:val="0051286E"/>
    <w:rsid w:val="00516021"/>
    <w:rsid w:val="00516457"/>
    <w:rsid w:val="00516641"/>
    <w:rsid w:val="0051729F"/>
    <w:rsid w:val="00520A0C"/>
    <w:rsid w:val="00530E37"/>
    <w:rsid w:val="00533530"/>
    <w:rsid w:val="00535946"/>
    <w:rsid w:val="005452CF"/>
    <w:rsid w:val="005464A1"/>
    <w:rsid w:val="00546F12"/>
    <w:rsid w:val="0055339C"/>
    <w:rsid w:val="005542CC"/>
    <w:rsid w:val="00560424"/>
    <w:rsid w:val="00562B3C"/>
    <w:rsid w:val="00564E40"/>
    <w:rsid w:val="005750E2"/>
    <w:rsid w:val="00582DCF"/>
    <w:rsid w:val="0058313F"/>
    <w:rsid w:val="00585859"/>
    <w:rsid w:val="00586FBC"/>
    <w:rsid w:val="005879C9"/>
    <w:rsid w:val="00594CAD"/>
    <w:rsid w:val="005A1D0B"/>
    <w:rsid w:val="005A1DB5"/>
    <w:rsid w:val="005A3C6B"/>
    <w:rsid w:val="005B1EA5"/>
    <w:rsid w:val="005C54A0"/>
    <w:rsid w:val="005D0D15"/>
    <w:rsid w:val="005D7176"/>
    <w:rsid w:val="005E18CB"/>
    <w:rsid w:val="005E1F24"/>
    <w:rsid w:val="005E3667"/>
    <w:rsid w:val="005E73F1"/>
    <w:rsid w:val="005F07EF"/>
    <w:rsid w:val="005F16B6"/>
    <w:rsid w:val="005F5224"/>
    <w:rsid w:val="00600B2E"/>
    <w:rsid w:val="00601122"/>
    <w:rsid w:val="00606521"/>
    <w:rsid w:val="00607CEB"/>
    <w:rsid w:val="00613299"/>
    <w:rsid w:val="006163DD"/>
    <w:rsid w:val="0061762D"/>
    <w:rsid w:val="00634238"/>
    <w:rsid w:val="00635FBC"/>
    <w:rsid w:val="00637728"/>
    <w:rsid w:val="0064113A"/>
    <w:rsid w:val="0064167B"/>
    <w:rsid w:val="00644002"/>
    <w:rsid w:val="006458B1"/>
    <w:rsid w:val="00650529"/>
    <w:rsid w:val="00650BAB"/>
    <w:rsid w:val="00651737"/>
    <w:rsid w:val="006652DD"/>
    <w:rsid w:val="006671BF"/>
    <w:rsid w:val="00672A7D"/>
    <w:rsid w:val="00681416"/>
    <w:rsid w:val="006A06F5"/>
    <w:rsid w:val="006A0ED2"/>
    <w:rsid w:val="006B0A73"/>
    <w:rsid w:val="006B5A6B"/>
    <w:rsid w:val="006C0F82"/>
    <w:rsid w:val="006C25E8"/>
    <w:rsid w:val="006C332E"/>
    <w:rsid w:val="006C5901"/>
    <w:rsid w:val="006C76B6"/>
    <w:rsid w:val="006D00F1"/>
    <w:rsid w:val="006D377A"/>
    <w:rsid w:val="006D4222"/>
    <w:rsid w:val="006D6372"/>
    <w:rsid w:val="006D68C4"/>
    <w:rsid w:val="006D6E5C"/>
    <w:rsid w:val="006E02AF"/>
    <w:rsid w:val="006E0786"/>
    <w:rsid w:val="006E6B4A"/>
    <w:rsid w:val="006E7449"/>
    <w:rsid w:val="006E7FB1"/>
    <w:rsid w:val="006F2604"/>
    <w:rsid w:val="006F5319"/>
    <w:rsid w:val="006F54D4"/>
    <w:rsid w:val="006F55FD"/>
    <w:rsid w:val="006F5D21"/>
    <w:rsid w:val="007109F6"/>
    <w:rsid w:val="00711BE3"/>
    <w:rsid w:val="00721B51"/>
    <w:rsid w:val="00724FA7"/>
    <w:rsid w:val="00725415"/>
    <w:rsid w:val="00727505"/>
    <w:rsid w:val="00731581"/>
    <w:rsid w:val="0073481D"/>
    <w:rsid w:val="00741B9E"/>
    <w:rsid w:val="00743DAC"/>
    <w:rsid w:val="007455B3"/>
    <w:rsid w:val="007502CD"/>
    <w:rsid w:val="00752AE7"/>
    <w:rsid w:val="00752D3B"/>
    <w:rsid w:val="0075337B"/>
    <w:rsid w:val="00755CD4"/>
    <w:rsid w:val="00757F96"/>
    <w:rsid w:val="007610B5"/>
    <w:rsid w:val="007623CB"/>
    <w:rsid w:val="00762652"/>
    <w:rsid w:val="00764551"/>
    <w:rsid w:val="007677B8"/>
    <w:rsid w:val="00781713"/>
    <w:rsid w:val="00785285"/>
    <w:rsid w:val="0078529D"/>
    <w:rsid w:val="00785E77"/>
    <w:rsid w:val="00787DC1"/>
    <w:rsid w:val="00794070"/>
    <w:rsid w:val="007A63CA"/>
    <w:rsid w:val="007A713B"/>
    <w:rsid w:val="007A7DA0"/>
    <w:rsid w:val="007B64E5"/>
    <w:rsid w:val="007C2F04"/>
    <w:rsid w:val="007F06E5"/>
    <w:rsid w:val="007F5B8B"/>
    <w:rsid w:val="00817E9A"/>
    <w:rsid w:val="00827786"/>
    <w:rsid w:val="00827BDA"/>
    <w:rsid w:val="00830D57"/>
    <w:rsid w:val="00831F00"/>
    <w:rsid w:val="00850CA0"/>
    <w:rsid w:val="00852A2F"/>
    <w:rsid w:val="008608EE"/>
    <w:rsid w:val="00860B07"/>
    <w:rsid w:val="008616F6"/>
    <w:rsid w:val="0086259C"/>
    <w:rsid w:val="00862E96"/>
    <w:rsid w:val="008674ED"/>
    <w:rsid w:val="0087074C"/>
    <w:rsid w:val="00883F24"/>
    <w:rsid w:val="00897E1F"/>
    <w:rsid w:val="008A3E8E"/>
    <w:rsid w:val="008B2CB4"/>
    <w:rsid w:val="008B3D82"/>
    <w:rsid w:val="008B5503"/>
    <w:rsid w:val="008B6404"/>
    <w:rsid w:val="008C2C21"/>
    <w:rsid w:val="008C7DD3"/>
    <w:rsid w:val="008E000B"/>
    <w:rsid w:val="008E2926"/>
    <w:rsid w:val="008E35C6"/>
    <w:rsid w:val="008E3F49"/>
    <w:rsid w:val="008E7FBC"/>
    <w:rsid w:val="008F243B"/>
    <w:rsid w:val="008F4675"/>
    <w:rsid w:val="008F50FE"/>
    <w:rsid w:val="008F69CD"/>
    <w:rsid w:val="00901E60"/>
    <w:rsid w:val="00904A66"/>
    <w:rsid w:val="00905029"/>
    <w:rsid w:val="00911B36"/>
    <w:rsid w:val="00921A3A"/>
    <w:rsid w:val="0092287F"/>
    <w:rsid w:val="0092495B"/>
    <w:rsid w:val="0092660E"/>
    <w:rsid w:val="00936519"/>
    <w:rsid w:val="00941DA3"/>
    <w:rsid w:val="00942C0C"/>
    <w:rsid w:val="00951711"/>
    <w:rsid w:val="009539E3"/>
    <w:rsid w:val="00954A5E"/>
    <w:rsid w:val="009551B2"/>
    <w:rsid w:val="0096022C"/>
    <w:rsid w:val="00964625"/>
    <w:rsid w:val="00980937"/>
    <w:rsid w:val="00981C1D"/>
    <w:rsid w:val="0099109C"/>
    <w:rsid w:val="009936DB"/>
    <w:rsid w:val="00993CFC"/>
    <w:rsid w:val="009A1DC2"/>
    <w:rsid w:val="009A5EEA"/>
    <w:rsid w:val="009B0906"/>
    <w:rsid w:val="009B0BF6"/>
    <w:rsid w:val="009B38F2"/>
    <w:rsid w:val="009B7433"/>
    <w:rsid w:val="009C0914"/>
    <w:rsid w:val="009C27E5"/>
    <w:rsid w:val="009D24A1"/>
    <w:rsid w:val="009D3891"/>
    <w:rsid w:val="009D64CB"/>
    <w:rsid w:val="009D71E8"/>
    <w:rsid w:val="009E104B"/>
    <w:rsid w:val="009E7DE4"/>
    <w:rsid w:val="009F3BBD"/>
    <w:rsid w:val="00A022AB"/>
    <w:rsid w:val="00A063DD"/>
    <w:rsid w:val="00A112B5"/>
    <w:rsid w:val="00A14EEA"/>
    <w:rsid w:val="00A33636"/>
    <w:rsid w:val="00A44FBB"/>
    <w:rsid w:val="00A50104"/>
    <w:rsid w:val="00A522E0"/>
    <w:rsid w:val="00A52823"/>
    <w:rsid w:val="00A63579"/>
    <w:rsid w:val="00A638AC"/>
    <w:rsid w:val="00A64475"/>
    <w:rsid w:val="00A727E5"/>
    <w:rsid w:val="00A748B5"/>
    <w:rsid w:val="00A80A32"/>
    <w:rsid w:val="00A82A98"/>
    <w:rsid w:val="00A82D16"/>
    <w:rsid w:val="00A852F2"/>
    <w:rsid w:val="00A8712A"/>
    <w:rsid w:val="00A95F75"/>
    <w:rsid w:val="00A968DA"/>
    <w:rsid w:val="00A96B83"/>
    <w:rsid w:val="00AA355B"/>
    <w:rsid w:val="00AA42E5"/>
    <w:rsid w:val="00AB24FA"/>
    <w:rsid w:val="00AC5DDF"/>
    <w:rsid w:val="00AC73A8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331E1"/>
    <w:rsid w:val="00B572C4"/>
    <w:rsid w:val="00B60858"/>
    <w:rsid w:val="00B74D4E"/>
    <w:rsid w:val="00B80219"/>
    <w:rsid w:val="00B87184"/>
    <w:rsid w:val="00B91453"/>
    <w:rsid w:val="00BA19A5"/>
    <w:rsid w:val="00BC078B"/>
    <w:rsid w:val="00BC3A7D"/>
    <w:rsid w:val="00BC67F6"/>
    <w:rsid w:val="00BD2004"/>
    <w:rsid w:val="00BD4B12"/>
    <w:rsid w:val="00BD700D"/>
    <w:rsid w:val="00BE2F92"/>
    <w:rsid w:val="00BE44AC"/>
    <w:rsid w:val="00BF0D5F"/>
    <w:rsid w:val="00BF59B3"/>
    <w:rsid w:val="00BF6F95"/>
    <w:rsid w:val="00C10BCF"/>
    <w:rsid w:val="00C11EB4"/>
    <w:rsid w:val="00C12746"/>
    <w:rsid w:val="00C23C11"/>
    <w:rsid w:val="00C25827"/>
    <w:rsid w:val="00C31BB8"/>
    <w:rsid w:val="00C373EA"/>
    <w:rsid w:val="00C43CA3"/>
    <w:rsid w:val="00C43D9D"/>
    <w:rsid w:val="00C43EA4"/>
    <w:rsid w:val="00C50040"/>
    <w:rsid w:val="00C52DFF"/>
    <w:rsid w:val="00C621C1"/>
    <w:rsid w:val="00C62989"/>
    <w:rsid w:val="00C65CBB"/>
    <w:rsid w:val="00C74684"/>
    <w:rsid w:val="00C77FEF"/>
    <w:rsid w:val="00C80F37"/>
    <w:rsid w:val="00C83659"/>
    <w:rsid w:val="00C97A7F"/>
    <w:rsid w:val="00CA4421"/>
    <w:rsid w:val="00CA5363"/>
    <w:rsid w:val="00CA7D07"/>
    <w:rsid w:val="00CB24A4"/>
    <w:rsid w:val="00CB5B17"/>
    <w:rsid w:val="00CC4443"/>
    <w:rsid w:val="00CC5CAF"/>
    <w:rsid w:val="00CE54B4"/>
    <w:rsid w:val="00D06874"/>
    <w:rsid w:val="00D07530"/>
    <w:rsid w:val="00D173F7"/>
    <w:rsid w:val="00D20203"/>
    <w:rsid w:val="00D204E0"/>
    <w:rsid w:val="00D21354"/>
    <w:rsid w:val="00D22400"/>
    <w:rsid w:val="00D23F4A"/>
    <w:rsid w:val="00D264E2"/>
    <w:rsid w:val="00D278BA"/>
    <w:rsid w:val="00D33FE5"/>
    <w:rsid w:val="00D348C0"/>
    <w:rsid w:val="00D3578A"/>
    <w:rsid w:val="00D43A15"/>
    <w:rsid w:val="00D4463C"/>
    <w:rsid w:val="00D501EE"/>
    <w:rsid w:val="00D517DC"/>
    <w:rsid w:val="00D5360D"/>
    <w:rsid w:val="00D5590D"/>
    <w:rsid w:val="00D618E4"/>
    <w:rsid w:val="00D61DA5"/>
    <w:rsid w:val="00D642A3"/>
    <w:rsid w:val="00D71B8A"/>
    <w:rsid w:val="00D72C08"/>
    <w:rsid w:val="00D81325"/>
    <w:rsid w:val="00D875ED"/>
    <w:rsid w:val="00D877D0"/>
    <w:rsid w:val="00D90013"/>
    <w:rsid w:val="00D91B9C"/>
    <w:rsid w:val="00D92C1B"/>
    <w:rsid w:val="00D94CC7"/>
    <w:rsid w:val="00DA1AF4"/>
    <w:rsid w:val="00DB0C60"/>
    <w:rsid w:val="00DC641A"/>
    <w:rsid w:val="00DD21A1"/>
    <w:rsid w:val="00DD6B7D"/>
    <w:rsid w:val="00DD6E14"/>
    <w:rsid w:val="00DE15AC"/>
    <w:rsid w:val="00DF2015"/>
    <w:rsid w:val="00DF2FCA"/>
    <w:rsid w:val="00E061EC"/>
    <w:rsid w:val="00E10E81"/>
    <w:rsid w:val="00E13E51"/>
    <w:rsid w:val="00E170C5"/>
    <w:rsid w:val="00E21F56"/>
    <w:rsid w:val="00E3014F"/>
    <w:rsid w:val="00E4286E"/>
    <w:rsid w:val="00E43EAD"/>
    <w:rsid w:val="00E4516C"/>
    <w:rsid w:val="00E5079D"/>
    <w:rsid w:val="00E62DCB"/>
    <w:rsid w:val="00E651DD"/>
    <w:rsid w:val="00E66558"/>
    <w:rsid w:val="00E70D81"/>
    <w:rsid w:val="00E726A6"/>
    <w:rsid w:val="00E73418"/>
    <w:rsid w:val="00E8109E"/>
    <w:rsid w:val="00E86F05"/>
    <w:rsid w:val="00E964FC"/>
    <w:rsid w:val="00EA11A4"/>
    <w:rsid w:val="00EA3A2A"/>
    <w:rsid w:val="00EB4556"/>
    <w:rsid w:val="00EB64C8"/>
    <w:rsid w:val="00ED4136"/>
    <w:rsid w:val="00ED5108"/>
    <w:rsid w:val="00ED6AE8"/>
    <w:rsid w:val="00EE2CB2"/>
    <w:rsid w:val="00F012CA"/>
    <w:rsid w:val="00F01752"/>
    <w:rsid w:val="00F017D2"/>
    <w:rsid w:val="00F0355A"/>
    <w:rsid w:val="00F05C44"/>
    <w:rsid w:val="00F15753"/>
    <w:rsid w:val="00F21F92"/>
    <w:rsid w:val="00F24A7E"/>
    <w:rsid w:val="00F32ABA"/>
    <w:rsid w:val="00F33DC0"/>
    <w:rsid w:val="00F33F28"/>
    <w:rsid w:val="00F35A40"/>
    <w:rsid w:val="00F35FDE"/>
    <w:rsid w:val="00F40DE1"/>
    <w:rsid w:val="00F4142A"/>
    <w:rsid w:val="00F62587"/>
    <w:rsid w:val="00F631A6"/>
    <w:rsid w:val="00F63E9E"/>
    <w:rsid w:val="00F66AA7"/>
    <w:rsid w:val="00F75603"/>
    <w:rsid w:val="00F76843"/>
    <w:rsid w:val="00F776E1"/>
    <w:rsid w:val="00F8C3CE"/>
    <w:rsid w:val="00F925EB"/>
    <w:rsid w:val="00F97033"/>
    <w:rsid w:val="00FA6DD0"/>
    <w:rsid w:val="00FC28DF"/>
    <w:rsid w:val="00FD2297"/>
    <w:rsid w:val="00FD6AC6"/>
    <w:rsid w:val="00FE0CB0"/>
    <w:rsid w:val="00FE2749"/>
    <w:rsid w:val="00FE3136"/>
    <w:rsid w:val="00FE50A3"/>
    <w:rsid w:val="00FE5204"/>
    <w:rsid w:val="00FE604C"/>
    <w:rsid w:val="00FF369D"/>
    <w:rsid w:val="00FF6FB0"/>
    <w:rsid w:val="00FF79A8"/>
    <w:rsid w:val="0250D6C8"/>
    <w:rsid w:val="0294942F"/>
    <w:rsid w:val="0321C481"/>
    <w:rsid w:val="03788E24"/>
    <w:rsid w:val="041FDCDC"/>
    <w:rsid w:val="042E46A6"/>
    <w:rsid w:val="05B6D577"/>
    <w:rsid w:val="05C1AA5A"/>
    <w:rsid w:val="06337EFD"/>
    <w:rsid w:val="069AA0E3"/>
    <w:rsid w:val="06B02EE6"/>
    <w:rsid w:val="07FFD3D3"/>
    <w:rsid w:val="08141FE2"/>
    <w:rsid w:val="098914B9"/>
    <w:rsid w:val="09FD31D5"/>
    <w:rsid w:val="0A8F1E60"/>
    <w:rsid w:val="0AAD67A1"/>
    <w:rsid w:val="0B240EAF"/>
    <w:rsid w:val="0B3A85CD"/>
    <w:rsid w:val="0B57655A"/>
    <w:rsid w:val="0B9CC866"/>
    <w:rsid w:val="0CD6562E"/>
    <w:rsid w:val="0CF335BB"/>
    <w:rsid w:val="0D100E69"/>
    <w:rsid w:val="0E72268F"/>
    <w:rsid w:val="0EBB40CB"/>
    <w:rsid w:val="0F628F83"/>
    <w:rsid w:val="0FC64406"/>
    <w:rsid w:val="0FD8E4AA"/>
    <w:rsid w:val="100DF6F0"/>
    <w:rsid w:val="10545A38"/>
    <w:rsid w:val="1065A425"/>
    <w:rsid w:val="10FE5FE4"/>
    <w:rsid w:val="11064D6A"/>
    <w:rsid w:val="11CE9464"/>
    <w:rsid w:val="11EA4331"/>
    <w:rsid w:val="126520D0"/>
    <w:rsid w:val="13173609"/>
    <w:rsid w:val="131BD9C2"/>
    <w:rsid w:val="14E16813"/>
    <w:rsid w:val="15063526"/>
    <w:rsid w:val="15D9BE8D"/>
    <w:rsid w:val="1680693F"/>
    <w:rsid w:val="16CE4036"/>
    <w:rsid w:val="17865742"/>
    <w:rsid w:val="1858C3B2"/>
    <w:rsid w:val="190971C9"/>
    <w:rsid w:val="19737D38"/>
    <w:rsid w:val="1980943A"/>
    <w:rsid w:val="19827026"/>
    <w:rsid w:val="1997E79B"/>
    <w:rsid w:val="19D9A649"/>
    <w:rsid w:val="19F68D42"/>
    <w:rsid w:val="1A05E0F8"/>
    <w:rsid w:val="1A172959"/>
    <w:rsid w:val="1B50A997"/>
    <w:rsid w:val="1B559F6C"/>
    <w:rsid w:val="1C1D58BD"/>
    <w:rsid w:val="1CBF4D92"/>
    <w:rsid w:val="1CF005CD"/>
    <w:rsid w:val="1D11470B"/>
    <w:rsid w:val="1D2C34D5"/>
    <w:rsid w:val="1D3D81BA"/>
    <w:rsid w:val="1DB9291E"/>
    <w:rsid w:val="1EAD176C"/>
    <w:rsid w:val="1EAEDCD9"/>
    <w:rsid w:val="1ED9521B"/>
    <w:rsid w:val="202FFC16"/>
    <w:rsid w:val="2040CEEC"/>
    <w:rsid w:val="2075227C"/>
    <w:rsid w:val="211C7134"/>
    <w:rsid w:val="21BFEB1B"/>
    <w:rsid w:val="21DC9F4D"/>
    <w:rsid w:val="21FFA5F8"/>
    <w:rsid w:val="224E7044"/>
    <w:rsid w:val="23016669"/>
    <w:rsid w:val="235BBB7C"/>
    <w:rsid w:val="2497129E"/>
    <w:rsid w:val="24FB17B2"/>
    <w:rsid w:val="251C58F0"/>
    <w:rsid w:val="25C46210"/>
    <w:rsid w:val="2666377E"/>
    <w:rsid w:val="267E5829"/>
    <w:rsid w:val="26935C3E"/>
    <w:rsid w:val="2696E813"/>
    <w:rsid w:val="2765090A"/>
    <w:rsid w:val="27717995"/>
    <w:rsid w:val="27F4899F"/>
    <w:rsid w:val="28371A25"/>
    <w:rsid w:val="2853F9B2"/>
    <w:rsid w:val="2860AB8E"/>
    <w:rsid w:val="29050B8F"/>
    <w:rsid w:val="2952E171"/>
    <w:rsid w:val="29B63550"/>
    <w:rsid w:val="29EFCA13"/>
    <w:rsid w:val="2B578087"/>
    <w:rsid w:val="2B6EBAE7"/>
    <w:rsid w:val="2C8A8233"/>
    <w:rsid w:val="2D029DC2"/>
    <w:rsid w:val="2D0A8B48"/>
    <w:rsid w:val="2D39BE71"/>
    <w:rsid w:val="2F0B55CF"/>
    <w:rsid w:val="2FFB967E"/>
    <w:rsid w:val="30172A76"/>
    <w:rsid w:val="30715F33"/>
    <w:rsid w:val="308E4596"/>
    <w:rsid w:val="3139A62D"/>
    <w:rsid w:val="315DEFB6"/>
    <w:rsid w:val="31CC4DD9"/>
    <w:rsid w:val="337D58A1"/>
    <w:rsid w:val="33A8FFF5"/>
    <w:rsid w:val="33C78B3D"/>
    <w:rsid w:val="347146EF"/>
    <w:rsid w:val="34C39253"/>
    <w:rsid w:val="35159D2D"/>
    <w:rsid w:val="3544D056"/>
    <w:rsid w:val="358B35B5"/>
    <w:rsid w:val="3632F753"/>
    <w:rsid w:val="366B1B19"/>
    <w:rsid w:val="36E0A0B7"/>
    <w:rsid w:val="379D42FB"/>
    <w:rsid w:val="37EFC0F8"/>
    <w:rsid w:val="380BAE89"/>
    <w:rsid w:val="3833E4A9"/>
    <w:rsid w:val="3850C9C4"/>
    <w:rsid w:val="392771A7"/>
    <w:rsid w:val="3935188F"/>
    <w:rsid w:val="3A3F1ACF"/>
    <w:rsid w:val="3A608059"/>
    <w:rsid w:val="3B0CC322"/>
    <w:rsid w:val="3BE13FA2"/>
    <w:rsid w:val="3C7C58D4"/>
    <w:rsid w:val="3CBCCC13"/>
    <w:rsid w:val="3D09522C"/>
    <w:rsid w:val="3D699E50"/>
    <w:rsid w:val="3EA4202B"/>
    <w:rsid w:val="3EFD08A8"/>
    <w:rsid w:val="3F194612"/>
    <w:rsid w:val="3FB8AD6A"/>
    <w:rsid w:val="3FBDAC89"/>
    <w:rsid w:val="401FD3ED"/>
    <w:rsid w:val="40584FD4"/>
    <w:rsid w:val="408782FD"/>
    <w:rsid w:val="418407A1"/>
    <w:rsid w:val="4299A885"/>
    <w:rsid w:val="42C18EB0"/>
    <w:rsid w:val="42E38177"/>
    <w:rsid w:val="42F54D4B"/>
    <w:rsid w:val="430E75A8"/>
    <w:rsid w:val="44911DAC"/>
    <w:rsid w:val="453254A3"/>
    <w:rsid w:val="462CEE0D"/>
    <w:rsid w:val="469BFF34"/>
    <w:rsid w:val="47A22BEE"/>
    <w:rsid w:val="48496AD5"/>
    <w:rsid w:val="48792369"/>
    <w:rsid w:val="4899A611"/>
    <w:rsid w:val="48A21706"/>
    <w:rsid w:val="491E3A64"/>
    <w:rsid w:val="49648ECF"/>
    <w:rsid w:val="49782EBF"/>
    <w:rsid w:val="4A2891FE"/>
    <w:rsid w:val="4B005F30"/>
    <w:rsid w:val="4BF69EA0"/>
    <w:rsid w:val="4C08826F"/>
    <w:rsid w:val="4C5453B9"/>
    <w:rsid w:val="4C759D11"/>
    <w:rsid w:val="4C925143"/>
    <w:rsid w:val="4E105E2C"/>
    <w:rsid w:val="4EAC6B77"/>
    <w:rsid w:val="4F01D666"/>
    <w:rsid w:val="50EB52F9"/>
    <w:rsid w:val="513BD2FD"/>
    <w:rsid w:val="5165C266"/>
    <w:rsid w:val="52CF64F7"/>
    <w:rsid w:val="52E4DE95"/>
    <w:rsid w:val="530192C7"/>
    <w:rsid w:val="5330E325"/>
    <w:rsid w:val="541BCC9B"/>
    <w:rsid w:val="5476F490"/>
    <w:rsid w:val="549D6328"/>
    <w:rsid w:val="54AFE21F"/>
    <w:rsid w:val="55254E70"/>
    <w:rsid w:val="55859A94"/>
    <w:rsid w:val="56200B2C"/>
    <w:rsid w:val="56393389"/>
    <w:rsid w:val="56A0E637"/>
    <w:rsid w:val="5726C435"/>
    <w:rsid w:val="584A7459"/>
    <w:rsid w:val="5855E0E5"/>
    <w:rsid w:val="5970D44B"/>
    <w:rsid w:val="598B40C8"/>
    <w:rsid w:val="5ABDE3E2"/>
    <w:rsid w:val="5AC23EDA"/>
    <w:rsid w:val="5B1F23A3"/>
    <w:rsid w:val="5C13A54C"/>
    <w:rsid w:val="5C40C457"/>
    <w:rsid w:val="5D343E83"/>
    <w:rsid w:val="5F3A7B6B"/>
    <w:rsid w:val="5FB448E7"/>
    <w:rsid w:val="6131058C"/>
    <w:rsid w:val="617B4808"/>
    <w:rsid w:val="618B16E4"/>
    <w:rsid w:val="625D1A15"/>
    <w:rsid w:val="627D71BB"/>
    <w:rsid w:val="62CFBBF8"/>
    <w:rsid w:val="63D59CF5"/>
    <w:rsid w:val="6446E8E6"/>
    <w:rsid w:val="64C605E9"/>
    <w:rsid w:val="6511E656"/>
    <w:rsid w:val="653B77AB"/>
    <w:rsid w:val="6661D64A"/>
    <w:rsid w:val="66A22BD6"/>
    <w:rsid w:val="66B202B0"/>
    <w:rsid w:val="6749A49C"/>
    <w:rsid w:val="683C2732"/>
    <w:rsid w:val="68CC9463"/>
    <w:rsid w:val="6A17B9B9"/>
    <w:rsid w:val="6B0578F8"/>
    <w:rsid w:val="6C7E4007"/>
    <w:rsid w:val="6D28B1AF"/>
    <w:rsid w:val="6D616F43"/>
    <w:rsid w:val="6DA14C4E"/>
    <w:rsid w:val="6EB73EE5"/>
    <w:rsid w:val="6EEB2ADC"/>
    <w:rsid w:val="6F46CFA2"/>
    <w:rsid w:val="6FB5E0C9"/>
    <w:rsid w:val="6FEA662F"/>
    <w:rsid w:val="70DAB27D"/>
    <w:rsid w:val="70E7DD3A"/>
    <w:rsid w:val="71D7D4CF"/>
    <w:rsid w:val="723AEC49"/>
    <w:rsid w:val="727682DE"/>
    <w:rsid w:val="72ED818B"/>
    <w:rsid w:val="734846D8"/>
    <w:rsid w:val="73C16080"/>
    <w:rsid w:val="73D6BCAA"/>
    <w:rsid w:val="73DE708C"/>
    <w:rsid w:val="74140BDF"/>
    <w:rsid w:val="74943E67"/>
    <w:rsid w:val="757F4D02"/>
    <w:rsid w:val="75ADCA98"/>
    <w:rsid w:val="75B61126"/>
    <w:rsid w:val="7625224D"/>
    <w:rsid w:val="767FE79A"/>
    <w:rsid w:val="77D8DBA8"/>
    <w:rsid w:val="781BB7FB"/>
    <w:rsid w:val="7835829F"/>
    <w:rsid w:val="78ADF70B"/>
    <w:rsid w:val="78FF0A7C"/>
    <w:rsid w:val="7948FFDA"/>
    <w:rsid w:val="7AEBB83C"/>
    <w:rsid w:val="7B41418F"/>
    <w:rsid w:val="7BC8A632"/>
    <w:rsid w:val="7C897D58"/>
    <w:rsid w:val="7CCD6AB0"/>
    <w:rsid w:val="7CD600C1"/>
    <w:rsid w:val="7DA1EDD9"/>
    <w:rsid w:val="7DC1230B"/>
    <w:rsid w:val="7DC7B041"/>
    <w:rsid w:val="7E10DE25"/>
    <w:rsid w:val="7E78E251"/>
    <w:rsid w:val="7EC4B91E"/>
    <w:rsid w:val="7EDA6602"/>
    <w:rsid w:val="7ED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WWOutlineListStyle1" w:customStyle="1">
    <w:name w:val="WW_OutlineListStyle_1"/>
    <w:basedOn w:val="NoList"/>
    <w:pPr>
      <w:numPr>
        <w:numId w:val="1"/>
      </w:numPr>
    </w:pPr>
  </w:style>
  <w:style w:type="character" w:styleId="Heading1Char" w:customStyle="1">
    <w:name w:val="Heading 1 Char"/>
    <w:rPr>
      <w:b/>
      <w:color w:val="104F75"/>
      <w:sz w:val="36"/>
      <w:szCs w:val="24"/>
    </w:rPr>
  </w:style>
  <w:style w:type="character" w:styleId="Heading2Char" w:customStyle="1">
    <w:name w:val="Heading 2 Char"/>
    <w:rPr>
      <w:b/>
      <w:color w:val="104F75"/>
      <w:sz w:val="32"/>
      <w:szCs w:val="32"/>
    </w:rPr>
  </w:style>
  <w:style w:type="character" w:styleId="Heading3Char" w:customStyle="1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TitleText" w:customStyle="1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styleId="TitleTextChar" w:customStyle="1">
    <w:name w:val="TitleText Char"/>
    <w:rPr>
      <w:rFonts w:cs="Arial"/>
      <w:b/>
      <w:color w:val="104F75"/>
      <w:sz w:val="92"/>
      <w:szCs w:val="92"/>
    </w:rPr>
  </w:style>
  <w:style w:type="paragraph" w:styleId="SubtitleText" w:customStyle="1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styleId="SubtitleTextChar" w:customStyle="1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styleId="CopyrightBox" w:customStyle="1">
    <w:name w:val="CopyrightBox"/>
    <w:basedOn w:val="Normal"/>
  </w:style>
  <w:style w:type="character" w:styleId="CopyrightBoxChar" w:customStyle="1">
    <w:name w:val="CopyrightBox Char"/>
    <w:rPr>
      <w:color w:val="0D0D0D"/>
      <w:sz w:val="24"/>
      <w:szCs w:val="24"/>
    </w:rPr>
  </w:style>
  <w:style w:type="paragraph" w:styleId="CopyrightSpacing" w:customStyle="1">
    <w:name w:val="CopyrightSpacing"/>
    <w:basedOn w:val="Normal"/>
    <w:pPr>
      <w:spacing w:before="6000" w:after="120"/>
    </w:pPr>
  </w:style>
  <w:style w:type="character" w:styleId="CopyrightSpacingChar" w:customStyle="1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styleId="TitleChar" w:customStyle="1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styleId="Heading4Char" w:customStyle="1">
    <w:name w:val="Heading 4 Char"/>
    <w:rPr>
      <w:b/>
      <w:bCs/>
      <w:color w:val="104F75"/>
      <w:sz w:val="24"/>
      <w:szCs w:val="28"/>
    </w:rPr>
  </w:style>
  <w:style w:type="character" w:styleId="Heading5Char" w:customStyle="1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styleId="Heading6Char" w:customStyle="1">
    <w:name w:val="Heading 6 Char"/>
    <w:rPr>
      <w:rFonts w:ascii="Calibri" w:hAnsi="Calibri"/>
      <w:b/>
      <w:bCs/>
      <w:color w:val="0D0D0D"/>
      <w:sz w:val="24"/>
      <w:szCs w:val="22"/>
    </w:rPr>
  </w:style>
  <w:style w:type="character" w:styleId="Heading7Char" w:customStyle="1">
    <w:name w:val="Heading 7 Char"/>
    <w:rPr>
      <w:rFonts w:ascii="Calibri" w:hAnsi="Calibri"/>
      <w:color w:val="0D0D0D"/>
      <w:sz w:val="24"/>
      <w:szCs w:val="24"/>
    </w:rPr>
  </w:style>
  <w:style w:type="character" w:styleId="Heading8Char" w:customStyle="1">
    <w:name w:val="Heading 8 Char"/>
    <w:rPr>
      <w:rFonts w:ascii="Calibri" w:hAnsi="Calibri"/>
      <w:i/>
      <w:iCs/>
      <w:color w:val="0D0D0D"/>
      <w:sz w:val="24"/>
      <w:szCs w:val="24"/>
    </w:rPr>
  </w:style>
  <w:style w:type="character" w:styleId="Heading9Char" w:customStyle="1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styleId="BodyTextChar" w:customStyle="1">
    <w:name w:val="Body Text Char"/>
    <w:basedOn w:val="DefaultParagraphFont"/>
    <w:rPr>
      <w:color w:val="0D0D0D"/>
      <w:sz w:val="24"/>
      <w:szCs w:val="24"/>
    </w:rPr>
  </w:style>
  <w:style w:type="paragraph" w:styleId="TableHeader" w:customStyle="1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rPr>
      <w:rFonts w:ascii="Tahoma" w:hAnsi="Tahoma" w:cs="Tahoma"/>
      <w:sz w:val="16"/>
      <w:szCs w:val="16"/>
    </w:rPr>
  </w:style>
  <w:style w:type="paragraph" w:styleId="TableRow" w:customStyle="1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styleId="TableRowChar" w:customStyle="1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RGB" w:customStyle="1">
    <w:name w:val="RGB"/>
    <w:basedOn w:val="DefaultParagraphFont"/>
    <w:rPr>
      <w:b/>
      <w:bCs/>
      <w:sz w:val="20"/>
    </w:rPr>
  </w:style>
  <w:style w:type="paragraph" w:styleId="ColouredBoxHeadline" w:customStyle="1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styleId="RGBValues" w:customStyle="1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</w:rPr>
  </w:style>
  <w:style w:type="paragraph" w:styleId="Centredembed" w:customStyle="1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styleId="DateChar" w:customStyle="1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styleId="SourceChar" w:customStyle="1">
    <w:name w:val="Source Char"/>
    <w:basedOn w:val="DefaultParagraphFont"/>
  </w:style>
  <w:style w:type="paragraph" w:styleId="Source" w:customStyle="1">
    <w:name w:val="Source"/>
    <w:basedOn w:val="Normal"/>
    <w:pPr>
      <w:jc w:val="right"/>
    </w:pPr>
    <w:rPr>
      <w:sz w:val="20"/>
      <w:szCs w:val="20"/>
    </w:rPr>
  </w:style>
  <w:style w:type="paragraph" w:styleId="DfESOutNumbered1" w:customStyle="1">
    <w:name w:val="DfESOutNumbered1"/>
    <w:basedOn w:val="Normal"/>
    <w:pPr>
      <w:numPr>
        <w:numId w:val="3"/>
      </w:numPr>
    </w:pPr>
  </w:style>
  <w:style w:type="character" w:styleId="DfESOutNumbered1Char" w:customStyle="1">
    <w:name w:val="DfESOutNumbered1 Char"/>
    <w:rPr>
      <w:sz w:val="24"/>
      <w:szCs w:val="24"/>
    </w:rPr>
  </w:style>
  <w:style w:type="paragraph" w:styleId="TableRowRight" w:customStyle="1">
    <w:name w:val="TableRowRight"/>
    <w:basedOn w:val="TableRow"/>
    <w:pPr>
      <w:jc w:val="right"/>
    </w:pPr>
    <w:rPr>
      <w:szCs w:val="20"/>
    </w:rPr>
  </w:style>
  <w:style w:type="paragraph" w:styleId="TableRowCentered" w:customStyle="1">
    <w:name w:val="TableRowCentered"/>
    <w:basedOn w:val="TableRow"/>
    <w:pPr>
      <w:jc w:val="center"/>
    </w:pPr>
    <w:rPr>
      <w:szCs w:val="20"/>
    </w:rPr>
  </w:style>
  <w:style w:type="paragraph" w:styleId="SocialMedia" w:customStyle="1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styleId="Reference" w:customStyle="1">
    <w:name w:val="Reference"/>
    <w:basedOn w:val="Normal"/>
    <w:pPr>
      <w:tabs>
        <w:tab w:val="left" w:pos="1701"/>
      </w:tabs>
      <w:spacing w:before="240"/>
    </w:pPr>
  </w:style>
  <w:style w:type="character" w:styleId="SocialMediaChar" w:customStyle="1">
    <w:name w:val="SocialMedia Char"/>
    <w:basedOn w:val="DefaultParagraphFont"/>
    <w:rPr>
      <w:sz w:val="24"/>
      <w:szCs w:val="24"/>
    </w:rPr>
  </w:style>
  <w:style w:type="paragraph" w:styleId="Licence" w:customStyle="1">
    <w:name w:val="Licence"/>
    <w:basedOn w:val="Normal"/>
    <w:pPr>
      <w:tabs>
        <w:tab w:val="left" w:pos="1418"/>
      </w:tabs>
      <w:ind w:left="284"/>
      <w:contextualSpacing/>
    </w:pPr>
  </w:style>
  <w:style w:type="character" w:styleId="ReferenceChar" w:customStyle="1">
    <w:name w:val="Reference Char"/>
    <w:basedOn w:val="DefaultParagraphFont"/>
    <w:rPr>
      <w:color w:val="0D0D0D"/>
      <w:sz w:val="24"/>
      <w:szCs w:val="24"/>
    </w:rPr>
  </w:style>
  <w:style w:type="paragraph" w:styleId="LicenceIntro" w:customStyle="1">
    <w:name w:val="LicenceIntro"/>
    <w:basedOn w:val="Licence"/>
    <w:pPr>
      <w:spacing w:after="0"/>
      <w:ind w:left="0"/>
    </w:pPr>
    <w:rPr>
      <w:szCs w:val="20"/>
    </w:rPr>
  </w:style>
  <w:style w:type="character" w:styleId="LicenceChar" w:customStyle="1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styleId="Logos" w:customStyle="1">
    <w:name w:val="Logos"/>
    <w:basedOn w:val="Normal"/>
    <w:pPr>
      <w:pageBreakBefore/>
      <w:widowControl w:val="0"/>
    </w:pPr>
  </w:style>
  <w:style w:type="character" w:styleId="LogosChar" w:customStyle="1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styleId="DfESOutNumbered" w:customStyle="1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DfESOutNumberedChar" w:customStyle="1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styleId="DeptBullets" w:customStyle="1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DeptBulletsChar" w:customStyle="1">
    <w:name w:val="DeptBullets Char"/>
    <w:basedOn w:val="LogosChar"/>
    <w:rPr>
      <w:color w:val="0D0D0D"/>
      <w:sz w:val="24"/>
      <w:szCs w:val="24"/>
      <w:lang w:eastAsia="en-US"/>
    </w:rPr>
  </w:style>
  <w:style w:type="paragraph" w:styleId="TOCHeader" w:customStyle="1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styleId="TOCHeaderChar" w:customStyle="1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styleId="BodyTextIndentChar" w:customStyle="1">
    <w:name w:val="Body Text Indent Char"/>
    <w:basedOn w:val="DefaultParagraphFont"/>
    <w:rPr>
      <w:sz w:val="24"/>
      <w:lang w:eastAsia="en-US"/>
    </w:rPr>
  </w:style>
  <w:style w:type="paragraph" w:styleId="DeptOutNumbered" w:customStyle="1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styleId="Heading" w:customStyle="1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styleId="MinuteTop" w:customStyle="1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styleId="Numbered" w:customStyle="1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PersonalComposeStyle" w:customStyle="1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styleId="PersonalReplyStyle" w:customStyle="1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Sub-Heading" w:customStyle="1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styleId="SubtitleChar" w:customStyle="1">
    <w:name w:val="Subtitle Char"/>
    <w:basedOn w:val="DefaultParagraphFont"/>
    <w:rPr>
      <w:i/>
      <w:sz w:val="24"/>
      <w:lang w:eastAsia="en-US"/>
    </w:rPr>
  </w:style>
  <w:style w:type="paragraph" w:styleId="DfESBullets" w:customStyle="1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styleId="WWOutlineListStyle" w:customStyle="1">
    <w:name w:val="WW_OutlineListStyle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6" w:customStyle="1">
    <w:name w:val="LFO6"/>
    <w:basedOn w:val="NoList"/>
    <w:pPr>
      <w:numPr>
        <w:numId w:val="5"/>
      </w:numPr>
    </w:pPr>
  </w:style>
  <w:style w:type="numbering" w:styleId="LFO9" w:customStyle="1">
    <w:name w:val="LFO9"/>
    <w:basedOn w:val="NoList"/>
    <w:pPr>
      <w:numPr>
        <w:numId w:val="6"/>
      </w:numPr>
    </w:pPr>
  </w:style>
  <w:style w:type="numbering" w:styleId="LFO10" w:customStyle="1">
    <w:name w:val="LFO10"/>
    <w:basedOn w:val="NoList"/>
    <w:pPr>
      <w:numPr>
        <w:numId w:val="7"/>
      </w:numPr>
    </w:pPr>
  </w:style>
  <w:style w:type="numbering" w:styleId="LFO25" w:customStyle="1">
    <w:name w:val="LFO25"/>
    <w:basedOn w:val="NoList"/>
    <w:pPr>
      <w:numPr>
        <w:numId w:val="8"/>
      </w:numPr>
    </w:pPr>
  </w:style>
  <w:style w:type="numbering" w:styleId="LFO28" w:customStyle="1">
    <w:name w:val="LFO28"/>
    <w:basedOn w:val="NoList"/>
    <w:pPr>
      <w:numPr>
        <w:numId w:val="9"/>
      </w:numPr>
    </w:pPr>
  </w:style>
  <w:style w:type="numbering" w:styleId="LFO30" w:customStyle="1">
    <w:name w:val="LFO30"/>
    <w:basedOn w:val="NoList"/>
    <w:pPr>
      <w:numPr>
        <w:numId w:val="10"/>
      </w:numPr>
    </w:pPr>
  </w:style>
  <w:style w:type="numbering" w:styleId="LFO34" w:customStyle="1">
    <w:name w:val="LFO34"/>
    <w:basedOn w:val="NoList"/>
    <w:pPr>
      <w:numPr>
        <w:numId w:val="11"/>
      </w:numPr>
    </w:pPr>
  </w:style>
  <w:style w:type="numbering" w:styleId="LFO36" w:customStyle="1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  <w:style w:type="table" w:styleId="TableGrid0" w:customStyle="1">
    <w:name w:val="TableGrid"/>
    <w:rsid w:val="00FE0CB0"/>
    <w:pPr>
      <w:autoSpaceDN/>
    </w:pPr>
    <w:rPr>
      <w:rFonts w:asciiTheme="minorHAnsi" w:hAnsiTheme="minorHAnsi" w:eastAsiaTheme="minorEastAsia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8" ma:contentTypeDescription="Create a new document." ma:contentTypeScope="" ma:versionID="e3ec69ee68e1b103bb771895995c073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a853c2dcbdaa485d8cfaabec37c990b2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4DC45-082C-40B8-BA9D-118C64142719}"/>
</file>

<file path=customXml/itemProps2.xml><?xml version="1.0" encoding="utf-8"?>
<ds:datastoreItem xmlns:ds="http://schemas.openxmlformats.org/officeDocument/2006/customXml" ds:itemID="{DE742FEA-EA42-4521-9952-F25C84E47164}"/>
</file>

<file path=customXml/itemProps3.xml><?xml version="1.0" encoding="utf-8"?>
<ds:datastoreItem xmlns:ds="http://schemas.openxmlformats.org/officeDocument/2006/customXml" ds:itemID="{E14B5434-93EA-4663-82A1-BD97C4B00E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Department for Education</dc:creator>
  <cp:keywords/>
  <dc:description/>
  <cp:lastModifiedBy>Mark Paine (St Gregorys)</cp:lastModifiedBy>
  <cp:revision>14</cp:revision>
  <cp:lastPrinted>2014-09-18T05:26:00Z</cp:lastPrinted>
  <dcterms:created xsi:type="dcterms:W3CDTF">2023-11-30T17:04:00Z</dcterms:created>
  <dcterms:modified xsi:type="dcterms:W3CDTF">2023-12-01T22:35:40Z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0x010100FBD3C129883CB1479BC131496C283512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